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/>
          <w:sz w:val="28"/>
          <w:szCs w:val="28"/>
        </w:rPr>
      </w:pPr>
    </w:p>
    <w:p>
      <w:pPr>
        <w:rPr>
          <w:rFonts w:ascii="Times New Roman" w:hAnsi="Times New Roman" w:eastAsia="方正小标宋简体"/>
          <w:b/>
          <w:sz w:val="60"/>
          <w:shd w:val="pct10" w:color="auto" w:fill="FFFFFF"/>
        </w:rPr>
      </w:pPr>
    </w:p>
    <w:p>
      <w:pPr>
        <w:jc w:val="center"/>
        <w:rPr>
          <w:rFonts w:ascii="Times New Roman" w:hAnsi="Times New Roman" w:eastAsia="方正小标宋简体"/>
          <w:b/>
          <w:sz w:val="60"/>
        </w:rPr>
      </w:pPr>
    </w:p>
    <w:p>
      <w:pPr>
        <w:jc w:val="center"/>
        <w:rPr>
          <w:rFonts w:ascii="华文中宋" w:hAnsi="华文中宋" w:eastAsia="华文中宋"/>
          <w:sz w:val="100"/>
        </w:rPr>
      </w:pPr>
      <w:r>
        <w:rPr>
          <w:rFonts w:ascii="华文中宋" w:hAnsi="华文中宋" w:eastAsia="华文中宋"/>
          <w:sz w:val="100"/>
        </w:rPr>
        <w:t>医师资格考试大纲</w:t>
      </w:r>
    </w:p>
    <w:p>
      <w:pPr>
        <w:snapToGrid w:val="0"/>
        <w:jc w:val="center"/>
        <w:rPr>
          <w:rFonts w:eastAsia="仿宋_GB2312"/>
          <w:sz w:val="60"/>
          <w:szCs w:val="60"/>
        </w:rPr>
      </w:pPr>
    </w:p>
    <w:p>
      <w:pPr>
        <w:snapToGrid w:val="0"/>
        <w:jc w:val="center"/>
        <w:rPr>
          <w:rFonts w:eastAsia="仿宋_GB2312"/>
          <w:sz w:val="60"/>
          <w:szCs w:val="60"/>
        </w:rPr>
      </w:pPr>
      <w:r>
        <w:rPr>
          <w:rFonts w:hint="eastAsia" w:eastAsia="仿宋_GB2312"/>
          <w:sz w:val="60"/>
          <w:szCs w:val="60"/>
        </w:rPr>
        <w:t>执业助理医师 军事医学</w:t>
      </w:r>
    </w:p>
    <w:p>
      <w:pPr>
        <w:snapToGrid w:val="0"/>
        <w:rPr>
          <w:rFonts w:eastAsia="仿宋_GB2312"/>
          <w:sz w:val="32"/>
        </w:rPr>
      </w:pPr>
    </w:p>
    <w:p>
      <w:pPr>
        <w:snapToGrid w:val="0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jc w:val="center"/>
        <w:rPr>
          <w:rFonts w:ascii="楷体" w:hAnsi="楷体" w:eastAsia="楷体"/>
          <w:sz w:val="44"/>
        </w:rPr>
      </w:pPr>
      <w:r>
        <w:rPr>
          <w:rFonts w:hint="eastAsia" w:ascii="楷体" w:hAnsi="楷体" w:eastAsia="楷体"/>
          <w:sz w:val="44"/>
        </w:rPr>
        <w:t>国家卫生健康委员会</w:t>
      </w:r>
    </w:p>
    <w:p>
      <w:pPr>
        <w:jc w:val="center"/>
        <w:rPr>
          <w:rFonts w:ascii="楷体" w:hAnsi="楷体" w:eastAsia="楷体"/>
          <w:sz w:val="44"/>
        </w:rPr>
      </w:pPr>
      <w:r>
        <w:rPr>
          <w:rFonts w:hint="eastAsia" w:ascii="楷体" w:hAnsi="楷体" w:eastAsia="楷体"/>
          <w:sz w:val="44"/>
        </w:rPr>
        <w:t>医师资格考试委员会</w:t>
      </w:r>
    </w:p>
    <w:p>
      <w:pPr>
        <w:jc w:val="center"/>
        <w:rPr>
          <w:rFonts w:ascii="楷体" w:hAnsi="楷体" w:eastAsia="楷体"/>
          <w:sz w:val="44"/>
        </w:rPr>
      </w:pPr>
    </w:p>
    <w:p>
      <w:pPr>
        <w:jc w:val="center"/>
        <w:rPr>
          <w:rFonts w:ascii="Times New Roman" w:hAnsi="Times New Roman" w:eastAsia="楷体"/>
          <w:kern w:val="0"/>
          <w:sz w:val="44"/>
        </w:rPr>
      </w:pPr>
      <w:r>
        <w:rPr>
          <w:rFonts w:ascii="Times New Roman" w:hAnsi="Times New Roman" w:eastAsia="楷体"/>
          <w:kern w:val="0"/>
          <w:sz w:val="44"/>
        </w:rPr>
        <w:t>2023年</w:t>
      </w:r>
      <w:r>
        <w:rPr>
          <w:rFonts w:hint="eastAsia" w:ascii="Times New Roman" w:hAnsi="Times New Roman" w:eastAsia="楷体"/>
          <w:kern w:val="0"/>
          <w:sz w:val="44"/>
          <w:lang w:val="en-US" w:eastAsia="zh-CN"/>
        </w:rPr>
        <w:t>11</w:t>
      </w:r>
      <w:r>
        <w:rPr>
          <w:rFonts w:ascii="Times New Roman" w:hAnsi="Times New Roman" w:eastAsia="楷体"/>
          <w:kern w:val="0"/>
          <w:sz w:val="44"/>
        </w:rPr>
        <w:t>月</w:t>
      </w:r>
    </w:p>
    <w:p>
      <w:pPr>
        <w:jc w:val="center"/>
        <w:rPr>
          <w:rFonts w:ascii="Times New Roman" w:hAnsi="Times New Roman" w:eastAsia="楷体"/>
          <w:kern w:val="0"/>
          <w:sz w:val="44"/>
        </w:rPr>
      </w:pPr>
    </w:p>
    <w:p>
      <w:pPr>
        <w:jc w:val="center"/>
        <w:rPr>
          <w:rFonts w:ascii="Times New Roman" w:hAnsi="Times New Roman" w:eastAsia="楷体"/>
          <w:kern w:val="0"/>
          <w:sz w:val="44"/>
        </w:rPr>
      </w:pPr>
      <w:bookmarkStart w:id="4" w:name="_GoBack"/>
      <w:bookmarkEnd w:id="4"/>
    </w:p>
    <w:p>
      <w:pPr>
        <w:jc w:val="center"/>
        <w:rPr>
          <w:rFonts w:ascii="Times New Roman" w:hAnsi="Times New Roman" w:eastAsia="楷体"/>
          <w:kern w:val="0"/>
          <w:sz w:val="44"/>
        </w:rPr>
      </w:pPr>
    </w:p>
    <w:p>
      <w:pPr>
        <w:jc w:val="center"/>
        <w:rPr>
          <w:rFonts w:ascii="Times New Roman" w:hAnsi="Times New Roman" w:eastAsia="楷体"/>
          <w:sz w:val="44"/>
        </w:rPr>
      </w:pP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  <w:sectPr>
          <w:footerReference r:id="rId5" w:type="first"/>
          <w:headerReference r:id="rId3" w:type="defaul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pgNumType w:start="0"/>
          <w:cols w:space="425" w:num="1"/>
          <w:docGrid w:type="lines" w:linePitch="312" w:charSpace="0"/>
        </w:sectPr>
      </w:pPr>
    </w:p>
    <w:p>
      <w:pPr>
        <w:widowControl/>
        <w:tabs>
          <w:tab w:val="left" w:pos="4620"/>
        </w:tabs>
        <w:jc w:val="left"/>
        <w:rPr>
          <w:rFonts w:ascii="Times New Roman" w:hAnsi="Times New Roman" w:eastAsia="方正小标宋简体" w:cs="Times New Roman"/>
          <w:color w:val="FF0000"/>
          <w:sz w:val="76"/>
          <w:szCs w:val="76"/>
        </w:rPr>
      </w:pPr>
      <w:r>
        <w:rPr>
          <w:rFonts w:ascii="Times New Roman" w:hAnsi="Times New Roman" w:eastAsia="方正小标宋简体" w:cs="Times New Roman"/>
          <w:color w:val="FF0000"/>
          <w:sz w:val="76"/>
          <w:szCs w:val="76"/>
        </w:rPr>
        <w:tab/>
      </w:r>
    </w:p>
    <w:p>
      <w:pPr>
        <w:widowControl/>
        <w:tabs>
          <w:tab w:val="left" w:pos="4620"/>
        </w:tabs>
        <w:jc w:val="left"/>
        <w:rPr>
          <w:rFonts w:ascii="Times New Roman" w:hAnsi="Times New Roman" w:eastAsia="方正小标宋简体" w:cs="Times New Roman"/>
          <w:color w:val="FF0000"/>
          <w:sz w:val="76"/>
          <w:szCs w:val="76"/>
        </w:rPr>
      </w:pPr>
    </w:p>
    <w:p>
      <w:pPr>
        <w:widowControl/>
        <w:jc w:val="left"/>
        <w:rPr>
          <w:rFonts w:ascii="Times New Roman" w:hAnsi="Times New Roman" w:eastAsia="方正小标宋简体" w:cs="Times New Roman"/>
          <w:color w:val="FF0000"/>
          <w:sz w:val="76"/>
          <w:szCs w:val="76"/>
        </w:rPr>
      </w:pPr>
      <w:r>
        <w:rPr>
          <w:rFonts w:ascii="Times New Roman" w:hAnsi="Times New Roman" w:eastAsia="方正小标宋简体" w:cs="Times New Roman"/>
          <w:sz w:val="76"/>
          <w:szCs w:val="76"/>
        </w:rPr>
        <w:br w:type="page"/>
      </w:r>
    </w:p>
    <w:p>
      <w:pPr>
        <w:spacing w:line="11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前  言</w:t>
      </w:r>
    </w:p>
    <w:p>
      <w:pPr>
        <w:spacing w:line="480" w:lineRule="auto"/>
        <w:ind w:firstLine="646"/>
        <w:rPr>
          <w:rFonts w:ascii="Times New Roman" w:hAnsi="Times New Roman" w:eastAsia="仿宋_GB2312" w:cs="Times New Roman"/>
          <w:sz w:val="48"/>
          <w:szCs w:val="48"/>
        </w:rPr>
      </w:pPr>
    </w:p>
    <w:p>
      <w:pPr>
        <w:spacing w:line="520" w:lineRule="exact"/>
        <w:ind w:firstLine="645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军队担负维护国家安全、维护和平环境的神圣使命，军队医师是维护和促进军队成员健康、保障其战斗力的主要力量。在新时代强军目标的引领下，聚焦打仗备战，军队医师必须具备过硬的卫勤保障专业素质及能力。军队医师在达到《医师资格考试大纲》前言中对执业医师所提出的具体要求之外，还应满足以下要求：</w:t>
      </w:r>
    </w:p>
    <w:p>
      <w:pPr>
        <w:spacing w:line="520" w:lineRule="exact"/>
        <w:ind w:firstLine="645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1．熟悉平战时军队基本卫勤理论与主要保障方法。</w:t>
      </w:r>
    </w:p>
    <w:p>
      <w:pPr>
        <w:spacing w:line="520" w:lineRule="exact"/>
        <w:ind w:firstLine="645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2．掌握军队流行病学的理论与方法。</w:t>
      </w:r>
    </w:p>
    <w:p>
      <w:pPr>
        <w:spacing w:line="520" w:lineRule="exact"/>
        <w:ind w:firstLine="645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3．掌握军队成员健康维护和能力提升的卫生学保障原则与措施。</w:t>
      </w:r>
    </w:p>
    <w:p>
      <w:pPr>
        <w:spacing w:line="520" w:lineRule="exact"/>
        <w:ind w:firstLine="645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4．掌握核化生武器伤害的特点和规律、医学防护、救治原则与措施。</w:t>
      </w:r>
    </w:p>
    <w:p>
      <w:pPr>
        <w:spacing w:line="520" w:lineRule="exact"/>
        <w:ind w:firstLine="645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5．具备军队卫勤保障的组织指挥、医疗后送、卫生防疫、核化生武器损伤医学防护等基本技能。</w:t>
      </w:r>
    </w:p>
    <w:p>
      <w:pPr>
        <w:spacing w:line="520" w:lineRule="exact"/>
        <w:ind w:firstLine="645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为充分体现军队医师的职业特殊性和满足军队需要，进一步加强军队医师对军事医学知识与技能的学习和运用，更好地履行神圣使命，根据原卫生部医师资格考试委员会第15号《公告》精神和上述要求，制定《</w:t>
      </w:r>
      <w:r>
        <w:rPr>
          <w:rFonts w:hint="eastAsia" w:ascii="Times New Roman" w:hAnsi="宋体" w:cs="Times New Roman"/>
        </w:rPr>
        <w:t>执业助理</w:t>
      </w:r>
      <w:r>
        <w:rPr>
          <w:rFonts w:ascii="Times New Roman" w:hAnsi="宋体" w:cs="Times New Roman"/>
        </w:rPr>
        <w:t>医师资格军事医学考试大纲》，用于指导专家命题和考生备考。</w:t>
      </w:r>
    </w:p>
    <w:p>
      <w:pPr>
        <w:spacing w:line="520" w:lineRule="exact"/>
        <w:ind w:firstLine="645"/>
        <w:rPr>
          <w:rFonts w:ascii="Times New Roman" w:hAnsi="宋体" w:cs="Times New Roman"/>
          <w:sz w:val="32"/>
          <w:szCs w:val="32"/>
        </w:rPr>
      </w:pPr>
      <w:r>
        <w:rPr>
          <w:rFonts w:ascii="Times New Roman" w:hAnsi="宋体" w:cs="Times New Roman"/>
        </w:rPr>
        <w:t>本大纲自2024年起施行。</w:t>
      </w:r>
    </w:p>
    <w:p>
      <w:pPr>
        <w:widowControl/>
        <w:jc w:val="center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ascii="华文中宋" w:hAnsi="华文中宋" w:eastAsia="华文中宋"/>
          <w:sz w:val="52"/>
          <w:szCs w:val="52"/>
        </w:rPr>
        <w:t>目录</w:t>
      </w:r>
    </w:p>
    <w:p>
      <w:pPr>
        <w:jc w:val="center"/>
        <w:rPr>
          <w:rFonts w:ascii="华文中宋" w:hAnsi="华文中宋" w:eastAsia="华文中宋"/>
          <w:sz w:val="22"/>
          <w:szCs w:val="22"/>
        </w:rPr>
      </w:pPr>
    </w:p>
    <w:sdt>
      <w:sdtPr>
        <w:rPr>
          <w:lang w:val="zh-CN"/>
        </w:rPr>
        <w:id w:val="-1734383104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>
          <w:pPr>
            <w:pStyle w:val="8"/>
            <w:tabs>
              <w:tab w:val="right" w:leader="dot" w:pos="8296"/>
            </w:tabs>
            <w:rPr>
              <w:rFonts w:ascii="Times New Roman" w:hAnsi="Times New Roman" w:cs="Times New Roman" w:eastAsiaTheme="minorEastAsia"/>
            </w:rPr>
          </w:pP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TOC \o "1-3" \h \z \u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fldChar w:fldCharType="begin"/>
          </w:r>
          <w:r>
            <w:instrText xml:space="preserve"> HYPERLINK \l "_Toc146623922" </w:instrText>
          </w:r>
          <w:r>
            <w:fldChar w:fldCharType="separate"/>
          </w:r>
          <w:r>
            <w:rPr>
              <w:rStyle w:val="13"/>
              <w:rFonts w:ascii="Times New Roman" w:hAnsi="Times New Roman" w:cs="Times New Roman" w:eastAsiaTheme="minorEastAsia"/>
              <w:bCs/>
              <w:kern w:val="0"/>
            </w:rPr>
            <w:t>一、卫生勤务学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_Toc146623922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ascii="Times New Roman" w:hAnsi="Times New Roman" w:cs="Times New Roman" w:eastAsiaTheme="minorEastAsia"/>
            </w:rPr>
          </w:pPr>
          <w:r>
            <w:fldChar w:fldCharType="begin"/>
          </w:r>
          <w:r>
            <w:instrText xml:space="preserve"> HYPERLINK \l "_Toc146623923" </w:instrText>
          </w:r>
          <w:r>
            <w:fldChar w:fldCharType="separate"/>
          </w:r>
          <w:r>
            <w:rPr>
              <w:rStyle w:val="13"/>
              <w:rFonts w:ascii="Times New Roman" w:hAnsi="Times New Roman" w:cs="Times New Roman" w:eastAsiaTheme="minorEastAsia"/>
              <w:bCs/>
              <w:kern w:val="0"/>
            </w:rPr>
            <w:t>二、核、化、生武器损伤防治学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_Toc146623923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2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ascii="Times New Roman" w:hAnsi="Times New Roman" w:cs="Times New Roman" w:eastAsiaTheme="minorEastAsia"/>
            </w:rPr>
          </w:pPr>
          <w:r>
            <w:fldChar w:fldCharType="begin"/>
          </w:r>
          <w:r>
            <w:instrText xml:space="preserve"> HYPERLINK \l "_Toc146623924" </w:instrText>
          </w:r>
          <w:r>
            <w:fldChar w:fldCharType="separate"/>
          </w:r>
          <w:r>
            <w:rPr>
              <w:rStyle w:val="13"/>
              <w:rFonts w:ascii="Times New Roman" w:hAnsi="Times New Roman" w:cs="Times New Roman" w:eastAsiaTheme="minorEastAsia"/>
              <w:bCs/>
              <w:kern w:val="0"/>
            </w:rPr>
            <w:t>三、军队卫生学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_Toc146623924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5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ascii="Times New Roman" w:hAnsi="Times New Roman" w:cs="Times New Roman" w:eastAsiaTheme="minorEastAsia"/>
            </w:rPr>
          </w:pPr>
          <w:r>
            <w:fldChar w:fldCharType="begin"/>
          </w:r>
          <w:r>
            <w:instrText xml:space="preserve"> HYPERLINK \l "_Toc146623925" </w:instrText>
          </w:r>
          <w:r>
            <w:fldChar w:fldCharType="separate"/>
          </w:r>
          <w:r>
            <w:rPr>
              <w:rStyle w:val="13"/>
              <w:rFonts w:ascii="Times New Roman" w:hAnsi="Times New Roman" w:cs="Times New Roman" w:eastAsiaTheme="minorEastAsia"/>
              <w:bCs/>
              <w:kern w:val="0"/>
            </w:rPr>
            <w:t>四、军队流行病学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_Toc146623925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6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Fonts w:ascii="Times New Roman" w:hAnsi="Times New Roman" w:cs="Times New Roman" w:eastAsiaTheme="minorEastAsia"/>
            </w:rPr>
            <w:fldChar w:fldCharType="end"/>
          </w:r>
        </w:p>
        <w:p>
          <w:r>
            <w:rPr>
              <w:rFonts w:ascii="Times New Roman" w:hAnsi="Times New Roman" w:cs="Times New Roman" w:eastAsiaTheme="minorEastAsia"/>
              <w:bCs/>
              <w:lang w:val="zh-CN"/>
            </w:rPr>
            <w:fldChar w:fldCharType="end"/>
          </w:r>
        </w:p>
      </w:sdtContent>
    </w:sdt>
    <w:p>
      <w:pPr>
        <w:jc w:val="center"/>
        <w:rPr>
          <w:rFonts w:ascii="华文中宋" w:hAnsi="华文中宋" w:eastAsia="华文中宋"/>
          <w:sz w:val="52"/>
          <w:szCs w:val="5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footerReference r:id="rId8" w:type="first"/>
          <w:headerReference r:id="rId6" w:type="default"/>
          <w:footerReference r:id="rId7" w:type="default"/>
          <w:type w:val="continuous"/>
          <w:pgSz w:w="11906" w:h="16838"/>
          <w:pgMar w:top="1440" w:right="1800" w:bottom="1440" w:left="1800" w:header="851" w:footer="610" w:gutter="0"/>
          <w:pgNumType w:start="0"/>
          <w:cols w:space="425" w:num="1"/>
          <w:titlePg/>
          <w:docGrid w:type="lines" w:linePitch="312" w:charSpace="0"/>
        </w:sectPr>
      </w:pPr>
    </w:p>
    <w:tbl>
      <w:tblPr>
        <w:tblStyle w:val="10"/>
        <w:tblW w:w="87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2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7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bookmarkStart w:id="0" w:name="_Toc146623922"/>
            <w:r>
              <w:rPr>
                <w:rFonts w:ascii="Times New Roman" w:hAnsi="Times New Roman" w:cs="Times New Roman"/>
                <w:b/>
                <w:bCs/>
                <w:kern w:val="0"/>
                <w:sz w:val="30"/>
                <w:szCs w:val="30"/>
              </w:rPr>
              <w:t>一、卫生勤务学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60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单  元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细  目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要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一、绪论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1．概述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（1）卫生勤务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（2）卫勤保障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（3）卫生勤务学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2．卫生勤务的组织体系、基本任务和主要工作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（1）卫生勤务的组织体系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（2）基本任务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二、军队卫生防疫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卫生防疫工作的任务、内容与程序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（3）工作程序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三、军队医疗保健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1．医疗工作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（1）门（急）诊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（2）收容治疗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2．保健工作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（1）健康检查与健康观察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（2）体格检查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（3）健康鉴定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四、军队卫生物资保障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1．战时药材分类及药材保障标准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（1）战救药材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（2）战时常备药材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（3）基本医疗装备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2．野战卫生装备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五、卫生战备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1．经常性的卫生战备工作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（1）卫生战备组织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（2）卫生战备制度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（3）卫生战备物资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（4）卫生战备训练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2．临战准备时卫生战备工作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（1）工作程序和主要内容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（2）工作要求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六、卫生减员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1．减员的概念与区分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（1）总减员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（2）战斗减员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（3）非战斗减员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（4）卫生减员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2．减员分析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（1）战伤减员分析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（2）阵亡分析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（3）疾病减员分析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3．卫生减员预计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（1）影响战斗减员的因素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（2）常规武器战伤减员预计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七、伤病员医疗后送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1．概述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（2）医疗后送体制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（3）我军现行医疗后送体制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2．伤病员分类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（1）基本形式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（2）基本要求和措施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（3）分类标识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3．伤病员分级救治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（2）救治种类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4．伤病员后送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（2）后送方式与工具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5．医疗后送文书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（1）伤票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（2）野战病历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（3）医疗后送文件袋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（4）战时伤病员登记簿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八、卫勤组织指挥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概念、程序和内容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（2）战斗准备阶段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（3）战斗实施阶段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（4）战斗结束后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九、非战争军事行动卫勤保障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1．灾害医学救援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（1）特点、要求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（2）组织形式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2．维和行动卫勤保障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（1）特点、要求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（2）组织体系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十、战伤救治要点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1．基本技术要点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（1）出血控制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（2）气道开通与呼吸维持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（3）包扎、固定与搬运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（4）生命支持与急救处理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2．特殊类型战伤救治要点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（1）挤压伤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（2）冲击伤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（3）烧伤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（4）冻伤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（5）淹溺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（6）虫、蛇咬蛰伤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outlineLvl w:val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bookmarkStart w:id="1" w:name="_Toc146623923"/>
            <w:r>
              <w:rPr>
                <w:rFonts w:ascii="Times New Roman" w:hAnsi="Times New Roman" w:cs="Times New Roman"/>
                <w:b/>
                <w:bCs/>
                <w:kern w:val="0"/>
                <w:sz w:val="30"/>
                <w:szCs w:val="30"/>
              </w:rPr>
              <w:t>二、核、化、生武器损伤防治学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单  元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细  目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要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一、核物理基础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辐射量及其单位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（1）放射性活度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（2）吸收剂量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二、电离辐射生物学效应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电离辐射对细胞和组织的作用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细胞和组织辐射敏感性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三、核武器的杀伤作用及其防护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1．杀伤因素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（1）光辐射致伤特点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（2）冲击波致伤特点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（3）早期核辐射致伤特点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（4）放射性沾染致伤特点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2．防护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（1）瞬时杀伤因素防护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（2）放射性沾染防护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（3）战时剂量控制限值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四、放射损伤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1．急性放射病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（1）概念、分型、分度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（2）中重度骨髓型急性放射病的主要临床特点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（3）早期病情分类诊断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（4）中重度骨髓型急性放射病治疗原则、常用抗放药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2．内照射放射损伤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（1）概念、核素在体内的代谢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（2）内照射损伤临床特点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（3）治疗原则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3．复合伤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（1）概念、分类与伤情分度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（2）放射复合伤临床特点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4．皮肤放射损伤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五、放射卫生防护基础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1．概述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放射防护基本原则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2．防护标准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（1）国家标准中的年剂量限值和应急照射限值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（2）国家标准规定的表面污染限值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六、核辐射事故医学应急处置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医学应急处置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（1）人员的主要防护措施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（2）我国医疗救治体系的分级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七、化学武器概论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1．基本概念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（1）化学武器的概念和分类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（2）化学战剂的概念和分类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2．化学武器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（1）袭击方式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（2）战斗状态及其伤害形式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（3）主要致伤特点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3．化学毒剂伤的医学防护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（1）预防原则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（2）诊断原则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（3）救治原则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八、化学战剂中毒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1．神经性毒剂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（1）临床表现与分度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（2）诊断与鉴别诊断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（3）中毒预防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（4）急救和治疗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2．糜烂性毒剂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（1）临床表现：皮肤、眼、呼吸道损伤；全身吸收中毒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（2）诊断与鉴别诊断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（3）中毒预防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（4）急救和治疗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3．全身中毒性毒剂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（1）临床表现：中毒分型、分度和分期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（2）诊断与鉴别诊断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（3）中毒预防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（4）急救和治疗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4．窒息性毒剂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（1）临床表现：中毒分型、分度和分期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（2）诊断与鉴别诊断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（3）中毒预防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（4）急救和治疗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</w:rPr>
              <w:t>5</w:t>
            </w:r>
            <w:r>
              <w:rPr>
                <w:rFonts w:ascii="Times New Roman" w:hAnsi="Times New Roman" w:cs="Times New Roman" w:eastAsiaTheme="minorEastAsia"/>
                <w:kern w:val="0"/>
              </w:rPr>
              <w:t>．</w:t>
            </w:r>
            <w:r>
              <w:rPr>
                <w:rFonts w:ascii="Times New Roman" w:hAnsi="Times New Roman" w:cs="Times New Roman" w:eastAsiaTheme="minorEastAsia"/>
              </w:rPr>
              <w:t>失能性毒剂（毕兹）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</w:rPr>
              <w:t>（1）临床表现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</w:rPr>
              <w:t>（2）急救和治疗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</w:rPr>
              <w:t>6</w:t>
            </w:r>
            <w:r>
              <w:rPr>
                <w:rFonts w:ascii="Times New Roman" w:hAnsi="Times New Roman" w:cs="Times New Roman" w:eastAsiaTheme="minorEastAsia"/>
                <w:kern w:val="0"/>
              </w:rPr>
              <w:t>．</w:t>
            </w:r>
            <w:r>
              <w:rPr>
                <w:rFonts w:ascii="Times New Roman" w:hAnsi="Times New Roman" w:cs="Times New Roman" w:eastAsiaTheme="minorEastAsia"/>
              </w:rPr>
              <w:t>刺激剂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</w:rPr>
              <w:t>（1）分类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</w:rPr>
              <w:t>（2）临床表现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</w:rPr>
              <w:t>（3）预防和急救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九、化学武器损伤的医学防护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1．毒剂防护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（1）防护器材种类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（2）个人防护器材的性能和对人体的生理影响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2．毒剂侦检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（1）侦检的原理和方法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（2）主要侦检器材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3．毒剂消除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（1）洗消的原理和方法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（2）常用消毒剂、消毒方法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十、生物武器概述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1．基本概念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（1）生物战剂的概念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（2）生物武器的概念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（3）生物战的概念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2．分类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（1）根据军事效能的分类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（2）根据微生物学的分类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3．施放方式和侵入途径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（1）施放方式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（2）侵入途径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4．特点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（1）危害性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（2）弱点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十一、生物武器攻击的侦检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1．非仪器侦查方式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（1）生物武器攻击时的可疑情况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（2）现场调查方法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2．生物战剂的采样与检验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（1）标本采集和运送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十二、生物武器防护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1．防护原则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防护原则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2．物理防护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（1）个人防护方法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（2）集体防护方法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3．免疫防护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（1）接种时机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（2）接种方法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4．药物预防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（1）预防对象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（2）预防原则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十三、污染区和疫区的划定与处理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1．生物战剂污染区和疫区的划定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（1）污染区的概念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（2）气溶胶所致污染区和疫区的划定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2．生物战剂污染区的处置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（1）封锁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（2）隔离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3．污染区和疫区的洗消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（1）消毒的原则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（2）消毒方法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十四、生物战伤亡人员的处理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1．一般处理方法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（1）隔离的类型和措施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（2）感染后预防性治疗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2．特殊处理措施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（1）生物战伤亡人员的消毒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（2）特殊治疗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（3）伤亡人员污染物的处理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（4）大量伤员的处理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十五、生物战剂各论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1．细菌类战剂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炭疽芽</w:t>
            </w:r>
            <w:r>
              <w:rPr>
                <w:rFonts w:hint="eastAsia" w:ascii="Times New Roman" w:hAnsi="Times New Roman" w:cs="Times New Roman" w:eastAsiaTheme="minorEastAsia"/>
                <w:kern w:val="0"/>
              </w:rPr>
              <w:t>胞</w:t>
            </w:r>
            <w:r>
              <w:rPr>
                <w:rFonts w:ascii="Times New Roman" w:hAnsi="Times New Roman" w:cs="Times New Roman" w:eastAsiaTheme="minorEastAsia"/>
                <w:kern w:val="0"/>
              </w:rPr>
              <w:t>杆菌：所致疾病的流行病学特征、临床特征、治疗、预防措施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2．立克次体类战剂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Q热立克次体：所致疾病的流行病学特征、临床特征、治疗、预防措施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3．病毒类战剂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天花病毒：所致疾病的流行病学特征、临床特征、治疗、预防措施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4．毒素类战剂</w:t>
            </w:r>
          </w:p>
        </w:tc>
        <w:tc>
          <w:tcPr>
            <w:tcW w:w="46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肉毒杆菌毒素：所致疾病的流行病学特征、临床特征、治疗、预防措施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outlineLvl w:val="0"/>
              <w:rPr>
                <w:rFonts w:ascii="Times New Roman" w:hAnsi="Times New Roman" w:cs="Times New Roman"/>
                <w:bCs/>
                <w:kern w:val="0"/>
                <w:sz w:val="30"/>
                <w:szCs w:val="30"/>
              </w:rPr>
            </w:pPr>
            <w:bookmarkStart w:id="2" w:name="_Toc146623924"/>
            <w:r>
              <w:rPr>
                <w:rFonts w:ascii="Times New Roman" w:hAnsi="Times New Roman" w:cs="Times New Roman"/>
                <w:b/>
                <w:bCs/>
                <w:kern w:val="0"/>
                <w:sz w:val="30"/>
                <w:szCs w:val="30"/>
              </w:rPr>
              <w:t>三、军队卫生学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单  元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细  目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要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一、绪论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基本概念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（1）军队卫生学的定义与任务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（2）军队卫生监测和监督的目的、意义和任务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二、军队环境卫生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1．气象和大气卫生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（1）紫外线防护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</w:rPr>
              <w:t>（2）红外线防护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（3）气象因素对军人健康综合影响与防护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2．军队给水卫生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（1）水源卫生侦察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（2）军队常见介水传染病的危害、预防及控制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（3）军队战时饮用水卫生标准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（4）野外水质检验与改善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3．阵地、坑道、密闭环境与野外驻训卫生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（1）战场尸体处理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（2）军事密闭环境、坑道有害因素的危害、监测与防护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（3）野外驻训卫生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三、军队营养与食品卫生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1．军人营养需要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（1）军人膳食营养素供给量标准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（2）军人食物定量标准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（3）军人合理膳食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</w:rPr>
              <w:t>（4）军人营养状况评价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2．特殊环境军事作业营养保障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（1）热环境作业营养保障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（2）寒冷环境作业营养保障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（3）高原低氧环境营养保障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3．军事特种作业营养保障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（1）低照度作业营养保障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（2）超强体力劳动作业营养保障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（3）辐射条件下营养保障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4．军用食品与野战供膳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（1）军用食品分类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（2）野战供膳基本要求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5．军队食品安全保障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（1）食品安全快速检测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（2）核、化、生条件下食品安全保障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四、军队劳动卫生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1．军事劳动生理与训练卫生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（1）军事体力劳动强度分级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（2）军事作业疲劳判定和预防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（3）提高军事作业能力的措施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（4）军事训练伤及其预防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2．特殊环境军事作业健康危害与卫生防护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（1）热环境对机体的影响及防护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（2）寒冷环境对机体的影响及防护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（3）高原低氧对机体的影响及防护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3．军兵种和特殊作业卫生保障</w:t>
            </w:r>
          </w:p>
        </w:tc>
        <w:tc>
          <w:tcPr>
            <w:tcW w:w="4678" w:type="dxa"/>
            <w:shd w:val="clear" w:color="auto" w:fill="auto"/>
          </w:tcPr>
          <w:p>
            <w:pPr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（1）航空作业卫生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（2）航海作业卫生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（3）火箭推进剂作业卫生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（4）炮兵作业卫生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（5）坦克兵作业卫生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>（6）雷达和电子对抗作业卫生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30"/>
                <w:szCs w:val="30"/>
              </w:rPr>
            </w:pPr>
            <w:bookmarkStart w:id="3" w:name="_Toc146623925"/>
            <w:r>
              <w:rPr>
                <w:rFonts w:ascii="Times New Roman" w:hAnsi="Times New Roman" w:cs="Times New Roman"/>
                <w:b/>
                <w:bCs/>
                <w:kern w:val="0"/>
                <w:sz w:val="30"/>
                <w:szCs w:val="30"/>
              </w:rPr>
              <w:t>四、军队流行病学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单  元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细  目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要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一、绪论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1．概述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2．内容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（1）部队常见疾病的分布特点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（2）部队重要传染病的流行规律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（3）部队常见病、多发病的病因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（4）突发灾害性事件的卫生流行病学保障与研究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（5）疾病预防措施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（6）生物武器的防护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二、部队疾病预防策略与措施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1．预防策略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（1）部队疾病预防的特点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（2）部队疾病防制的原则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（3）部队疾病的预防策略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2．传染病的预防措施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（1）部队传染源的管理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（2）切断传播途径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（3）保护易感人群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（4）战时传染病的预防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3．军队卫生流行病学侦察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（1）定义、目的、意义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（2）种类和内容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（3）方法和要求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4．军队疾病监测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（1）定义、目的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（2）军队疾病监测系统及作用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三、部队突发公共卫生事件流行病学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1．突发公共卫生事件概述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定义、特点、分类和分级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2．突发公共卫生事件应对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（1）原则、监测、预警和报告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（2）响应机构、措施和终止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3．暴发调查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（1）定义和目的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（2）适用范围和条件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（3）调查方法与步骤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四、自然疫源性疾病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1．自然疫源性疾病概述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概念、种类和特点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2．自然疫源地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概念、要素和类型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3．自然疫源性疾病的防制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总体原则和防制措施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footerReference r:id="rId10" w:type="first"/>
          <w:footerReference r:id="rId9" w:type="default"/>
          <w:type w:val="continuous"/>
          <w:pgSz w:w="11906" w:h="16838"/>
          <w:pgMar w:top="1440" w:right="1800" w:bottom="1440" w:left="1800" w:header="851" w:footer="880" w:gutter="0"/>
          <w:pgNumType w:start="1"/>
          <w:cols w:space="425" w:num="1"/>
          <w:titlePg/>
          <w:docGrid w:type="lines" w:linePitch="312" w:charSpace="0"/>
        </w:sectPr>
      </w:pPr>
    </w:p>
    <w:p>
      <w:pPr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81407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0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6709643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20860"/>
    </w:sdtPr>
    <w:sdtEndPr>
      <w:rPr>
        <w:rFonts w:ascii="Times New Roman" w:hAnsi="Times New Roman"/>
      </w:rPr>
    </w:sdtEndPr>
    <w:sdtContent>
      <w:p>
        <w:pPr>
          <w:pStyle w:val="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6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06782"/>
    </w:sdtPr>
    <w:sdtContent>
      <w:p>
        <w:pPr>
          <w:pStyle w:val="6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62FD"/>
    <w:rsid w:val="000009E8"/>
    <w:rsid w:val="00000D59"/>
    <w:rsid w:val="000073A4"/>
    <w:rsid w:val="00010E3B"/>
    <w:rsid w:val="00011052"/>
    <w:rsid w:val="00015862"/>
    <w:rsid w:val="00017B34"/>
    <w:rsid w:val="00023019"/>
    <w:rsid w:val="000271EB"/>
    <w:rsid w:val="000454E5"/>
    <w:rsid w:val="00046D79"/>
    <w:rsid w:val="000661C4"/>
    <w:rsid w:val="00081944"/>
    <w:rsid w:val="00093183"/>
    <w:rsid w:val="00097604"/>
    <w:rsid w:val="000A379F"/>
    <w:rsid w:val="000A5E2A"/>
    <w:rsid w:val="000B5C71"/>
    <w:rsid w:val="000D16E6"/>
    <w:rsid w:val="000E2207"/>
    <w:rsid w:val="000E7AC0"/>
    <w:rsid w:val="000F3433"/>
    <w:rsid w:val="00100AF8"/>
    <w:rsid w:val="00106B8B"/>
    <w:rsid w:val="00155476"/>
    <w:rsid w:val="001565FE"/>
    <w:rsid w:val="00163850"/>
    <w:rsid w:val="001639C7"/>
    <w:rsid w:val="00172A55"/>
    <w:rsid w:val="00174684"/>
    <w:rsid w:val="00181D49"/>
    <w:rsid w:val="00185F06"/>
    <w:rsid w:val="0019059F"/>
    <w:rsid w:val="0019181A"/>
    <w:rsid w:val="001A47FD"/>
    <w:rsid w:val="001A4818"/>
    <w:rsid w:val="001A5508"/>
    <w:rsid w:val="001A7932"/>
    <w:rsid w:val="001B10C8"/>
    <w:rsid w:val="001B3D30"/>
    <w:rsid w:val="001D68E8"/>
    <w:rsid w:val="001E0A71"/>
    <w:rsid w:val="001F007E"/>
    <w:rsid w:val="001F79A0"/>
    <w:rsid w:val="00210A9A"/>
    <w:rsid w:val="002124F5"/>
    <w:rsid w:val="0021454A"/>
    <w:rsid w:val="00217BB1"/>
    <w:rsid w:val="002206D2"/>
    <w:rsid w:val="00222868"/>
    <w:rsid w:val="00224812"/>
    <w:rsid w:val="00231E20"/>
    <w:rsid w:val="0023285B"/>
    <w:rsid w:val="002343C5"/>
    <w:rsid w:val="00234685"/>
    <w:rsid w:val="00240B23"/>
    <w:rsid w:val="002502DA"/>
    <w:rsid w:val="0026460B"/>
    <w:rsid w:val="002A1983"/>
    <w:rsid w:val="002A7F8A"/>
    <w:rsid w:val="002B5BB4"/>
    <w:rsid w:val="002B6032"/>
    <w:rsid w:val="002B6502"/>
    <w:rsid w:val="002B6A3C"/>
    <w:rsid w:val="002B6FF8"/>
    <w:rsid w:val="002F3EA1"/>
    <w:rsid w:val="00301BA3"/>
    <w:rsid w:val="00312AF6"/>
    <w:rsid w:val="00331BCE"/>
    <w:rsid w:val="003420A8"/>
    <w:rsid w:val="0037666F"/>
    <w:rsid w:val="00377B33"/>
    <w:rsid w:val="003845B0"/>
    <w:rsid w:val="003A6CBF"/>
    <w:rsid w:val="003B1F10"/>
    <w:rsid w:val="003B2B07"/>
    <w:rsid w:val="003C0441"/>
    <w:rsid w:val="003C3B16"/>
    <w:rsid w:val="003C581F"/>
    <w:rsid w:val="003E037B"/>
    <w:rsid w:val="003F3E6C"/>
    <w:rsid w:val="00402CE5"/>
    <w:rsid w:val="00410F0A"/>
    <w:rsid w:val="004232DC"/>
    <w:rsid w:val="004312C7"/>
    <w:rsid w:val="004338AF"/>
    <w:rsid w:val="004478A0"/>
    <w:rsid w:val="0045325F"/>
    <w:rsid w:val="004573BA"/>
    <w:rsid w:val="00464647"/>
    <w:rsid w:val="004667AA"/>
    <w:rsid w:val="00470C97"/>
    <w:rsid w:val="004716F9"/>
    <w:rsid w:val="00471825"/>
    <w:rsid w:val="00475703"/>
    <w:rsid w:val="00475F8E"/>
    <w:rsid w:val="00480B8F"/>
    <w:rsid w:val="0048304D"/>
    <w:rsid w:val="0048782C"/>
    <w:rsid w:val="00496D04"/>
    <w:rsid w:val="004A7910"/>
    <w:rsid w:val="004C3977"/>
    <w:rsid w:val="004C6B8C"/>
    <w:rsid w:val="0050360B"/>
    <w:rsid w:val="00507495"/>
    <w:rsid w:val="00510C68"/>
    <w:rsid w:val="00512162"/>
    <w:rsid w:val="00517084"/>
    <w:rsid w:val="00524B7A"/>
    <w:rsid w:val="00525A63"/>
    <w:rsid w:val="005437FA"/>
    <w:rsid w:val="00551B5F"/>
    <w:rsid w:val="00562806"/>
    <w:rsid w:val="00565239"/>
    <w:rsid w:val="00565D5E"/>
    <w:rsid w:val="005A0F1F"/>
    <w:rsid w:val="005A1343"/>
    <w:rsid w:val="005A7F22"/>
    <w:rsid w:val="005B1F39"/>
    <w:rsid w:val="005B2C19"/>
    <w:rsid w:val="005D0BA2"/>
    <w:rsid w:val="005E4BEB"/>
    <w:rsid w:val="005F130F"/>
    <w:rsid w:val="00607144"/>
    <w:rsid w:val="00613BDF"/>
    <w:rsid w:val="0064182A"/>
    <w:rsid w:val="00641C48"/>
    <w:rsid w:val="00642263"/>
    <w:rsid w:val="00643FA4"/>
    <w:rsid w:val="00644E69"/>
    <w:rsid w:val="00664164"/>
    <w:rsid w:val="006668E5"/>
    <w:rsid w:val="00680C22"/>
    <w:rsid w:val="00681213"/>
    <w:rsid w:val="00681C30"/>
    <w:rsid w:val="006A68F3"/>
    <w:rsid w:val="006A69CE"/>
    <w:rsid w:val="006B5F59"/>
    <w:rsid w:val="006C32CA"/>
    <w:rsid w:val="006C79B9"/>
    <w:rsid w:val="006D2104"/>
    <w:rsid w:val="006E206F"/>
    <w:rsid w:val="006F7BF1"/>
    <w:rsid w:val="00702EAA"/>
    <w:rsid w:val="007262FD"/>
    <w:rsid w:val="00734370"/>
    <w:rsid w:val="00745AF8"/>
    <w:rsid w:val="007722FE"/>
    <w:rsid w:val="00786E80"/>
    <w:rsid w:val="00797306"/>
    <w:rsid w:val="007A0BB7"/>
    <w:rsid w:val="007B2E22"/>
    <w:rsid w:val="007B58DE"/>
    <w:rsid w:val="007B7142"/>
    <w:rsid w:val="007C2483"/>
    <w:rsid w:val="007D06FC"/>
    <w:rsid w:val="007D7C5C"/>
    <w:rsid w:val="007E2269"/>
    <w:rsid w:val="007E6DBB"/>
    <w:rsid w:val="007F122F"/>
    <w:rsid w:val="007F56D7"/>
    <w:rsid w:val="00803C86"/>
    <w:rsid w:val="0080465B"/>
    <w:rsid w:val="00807AE9"/>
    <w:rsid w:val="008111C3"/>
    <w:rsid w:val="00825451"/>
    <w:rsid w:val="00825BF8"/>
    <w:rsid w:val="00830259"/>
    <w:rsid w:val="00852A68"/>
    <w:rsid w:val="00853BA9"/>
    <w:rsid w:val="00855F7D"/>
    <w:rsid w:val="00860A79"/>
    <w:rsid w:val="00861EA5"/>
    <w:rsid w:val="00863C7B"/>
    <w:rsid w:val="00866CA0"/>
    <w:rsid w:val="00874686"/>
    <w:rsid w:val="00883E23"/>
    <w:rsid w:val="00891611"/>
    <w:rsid w:val="008937FF"/>
    <w:rsid w:val="0089613D"/>
    <w:rsid w:val="008A3131"/>
    <w:rsid w:val="008A5103"/>
    <w:rsid w:val="008B0C88"/>
    <w:rsid w:val="008B2EA5"/>
    <w:rsid w:val="008C455B"/>
    <w:rsid w:val="008D7FBF"/>
    <w:rsid w:val="008E12F1"/>
    <w:rsid w:val="008F0EB9"/>
    <w:rsid w:val="008F3357"/>
    <w:rsid w:val="008F4681"/>
    <w:rsid w:val="008F7C26"/>
    <w:rsid w:val="00902981"/>
    <w:rsid w:val="00904C30"/>
    <w:rsid w:val="00910308"/>
    <w:rsid w:val="00916E84"/>
    <w:rsid w:val="009258A2"/>
    <w:rsid w:val="00927EDE"/>
    <w:rsid w:val="0093255D"/>
    <w:rsid w:val="00933EF1"/>
    <w:rsid w:val="0094410E"/>
    <w:rsid w:val="009463A5"/>
    <w:rsid w:val="0095095E"/>
    <w:rsid w:val="009509FD"/>
    <w:rsid w:val="00951E0C"/>
    <w:rsid w:val="00961AC0"/>
    <w:rsid w:val="00972AFF"/>
    <w:rsid w:val="009844A7"/>
    <w:rsid w:val="00991F2D"/>
    <w:rsid w:val="009922B1"/>
    <w:rsid w:val="009B29B0"/>
    <w:rsid w:val="009C39A2"/>
    <w:rsid w:val="009D1BA8"/>
    <w:rsid w:val="009D2D85"/>
    <w:rsid w:val="009D3610"/>
    <w:rsid w:val="009D5A29"/>
    <w:rsid w:val="009E2385"/>
    <w:rsid w:val="009E27E1"/>
    <w:rsid w:val="009F5478"/>
    <w:rsid w:val="009F7004"/>
    <w:rsid w:val="00A0160A"/>
    <w:rsid w:val="00A06D10"/>
    <w:rsid w:val="00A102D8"/>
    <w:rsid w:val="00A154DF"/>
    <w:rsid w:val="00A26480"/>
    <w:rsid w:val="00A331FA"/>
    <w:rsid w:val="00A40D75"/>
    <w:rsid w:val="00A54448"/>
    <w:rsid w:val="00A845DE"/>
    <w:rsid w:val="00A84BB4"/>
    <w:rsid w:val="00AA0622"/>
    <w:rsid w:val="00AA5148"/>
    <w:rsid w:val="00AA515B"/>
    <w:rsid w:val="00AA674B"/>
    <w:rsid w:val="00AB55AB"/>
    <w:rsid w:val="00AC371A"/>
    <w:rsid w:val="00AD6924"/>
    <w:rsid w:val="00B01EBA"/>
    <w:rsid w:val="00B203E6"/>
    <w:rsid w:val="00B22350"/>
    <w:rsid w:val="00B26ECA"/>
    <w:rsid w:val="00B315D5"/>
    <w:rsid w:val="00B36F23"/>
    <w:rsid w:val="00B377BE"/>
    <w:rsid w:val="00B469AB"/>
    <w:rsid w:val="00B47F18"/>
    <w:rsid w:val="00B67D98"/>
    <w:rsid w:val="00B73FA2"/>
    <w:rsid w:val="00B829FC"/>
    <w:rsid w:val="00BA13FA"/>
    <w:rsid w:val="00BA3914"/>
    <w:rsid w:val="00BB3F59"/>
    <w:rsid w:val="00BB5D3E"/>
    <w:rsid w:val="00BF6F8D"/>
    <w:rsid w:val="00C02D4F"/>
    <w:rsid w:val="00C11C9B"/>
    <w:rsid w:val="00C12AC6"/>
    <w:rsid w:val="00C167E3"/>
    <w:rsid w:val="00C22DAB"/>
    <w:rsid w:val="00C3042A"/>
    <w:rsid w:val="00C409E0"/>
    <w:rsid w:val="00C41570"/>
    <w:rsid w:val="00C466D2"/>
    <w:rsid w:val="00C65496"/>
    <w:rsid w:val="00C70E44"/>
    <w:rsid w:val="00C71B3E"/>
    <w:rsid w:val="00C81343"/>
    <w:rsid w:val="00C81AA0"/>
    <w:rsid w:val="00C82BF0"/>
    <w:rsid w:val="00C95614"/>
    <w:rsid w:val="00CA5ACC"/>
    <w:rsid w:val="00CA6D68"/>
    <w:rsid w:val="00CC14C6"/>
    <w:rsid w:val="00CC3E22"/>
    <w:rsid w:val="00CD2E87"/>
    <w:rsid w:val="00D13AE5"/>
    <w:rsid w:val="00D24D15"/>
    <w:rsid w:val="00D33EA3"/>
    <w:rsid w:val="00D3647D"/>
    <w:rsid w:val="00D61B7F"/>
    <w:rsid w:val="00D6463B"/>
    <w:rsid w:val="00D767ED"/>
    <w:rsid w:val="00DA76FF"/>
    <w:rsid w:val="00DB74A2"/>
    <w:rsid w:val="00DC0EC4"/>
    <w:rsid w:val="00DE2B7F"/>
    <w:rsid w:val="00DE7455"/>
    <w:rsid w:val="00DF18DF"/>
    <w:rsid w:val="00DF37DA"/>
    <w:rsid w:val="00E01357"/>
    <w:rsid w:val="00E01CA2"/>
    <w:rsid w:val="00E131F2"/>
    <w:rsid w:val="00E15A8E"/>
    <w:rsid w:val="00E372ED"/>
    <w:rsid w:val="00E42949"/>
    <w:rsid w:val="00E54762"/>
    <w:rsid w:val="00E54F59"/>
    <w:rsid w:val="00E850A7"/>
    <w:rsid w:val="00E856A9"/>
    <w:rsid w:val="00E874B8"/>
    <w:rsid w:val="00E9054D"/>
    <w:rsid w:val="00E956A6"/>
    <w:rsid w:val="00E95A79"/>
    <w:rsid w:val="00E96E34"/>
    <w:rsid w:val="00EA292C"/>
    <w:rsid w:val="00EA5E44"/>
    <w:rsid w:val="00EB593A"/>
    <w:rsid w:val="00EB6BC2"/>
    <w:rsid w:val="00EB7F46"/>
    <w:rsid w:val="00ED3867"/>
    <w:rsid w:val="00ED4153"/>
    <w:rsid w:val="00EE47B4"/>
    <w:rsid w:val="00F03818"/>
    <w:rsid w:val="00F03AB9"/>
    <w:rsid w:val="00F11E5C"/>
    <w:rsid w:val="00F13BEB"/>
    <w:rsid w:val="00F353CA"/>
    <w:rsid w:val="00F37852"/>
    <w:rsid w:val="00F567FB"/>
    <w:rsid w:val="00F71DEC"/>
    <w:rsid w:val="00F929A3"/>
    <w:rsid w:val="00F96EC6"/>
    <w:rsid w:val="00FA0E2D"/>
    <w:rsid w:val="00FA6FC8"/>
    <w:rsid w:val="00FC2C03"/>
    <w:rsid w:val="00FD4B01"/>
    <w:rsid w:val="00FE1839"/>
    <w:rsid w:val="00FF5089"/>
    <w:rsid w:val="0F554955"/>
    <w:rsid w:val="115E7EDE"/>
    <w:rsid w:val="6F65C008"/>
    <w:rsid w:val="FBFF4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  <w:rPr>
      <w:rFonts w:cs="Times New Roman"/>
    </w:rPr>
  </w:style>
  <w:style w:type="paragraph" w:styleId="4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rFonts w:cs="Times New Roman"/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styleId="14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link w:val="7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6">
    <w:name w:val="页脚 字符"/>
    <w:link w:val="6"/>
    <w:qFormat/>
    <w:uiPriority w:val="99"/>
    <w:rPr>
      <w:rFonts w:ascii="Calibri" w:hAnsi="Calibri" w:eastAsia="宋体" w:cs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Char Char Char Char Char Char Char Char Char Char Char Char Char Char Char Char"/>
    <w:basedOn w:val="1"/>
    <w:qFormat/>
    <w:uiPriority w:val="0"/>
    <w:rPr>
      <w:rFonts w:ascii="仿宋_GB2312" w:hAnsi="Times New Roman" w:cs="Times New Roman"/>
      <w:sz w:val="24"/>
      <w:szCs w:val="24"/>
    </w:rPr>
  </w:style>
  <w:style w:type="character" w:customStyle="1" w:styleId="19">
    <w:name w:val="批注框文本 字符"/>
    <w:link w:val="5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20">
    <w:name w:val="批注文字 字符"/>
    <w:link w:val="3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1">
    <w:name w:val="批注主题 字符"/>
    <w:link w:val="9"/>
    <w:semiHidden/>
    <w:qFormat/>
    <w:uiPriority w:val="99"/>
    <w:rPr>
      <w:rFonts w:cs="Calibri"/>
      <w:b/>
      <w:bCs/>
      <w:kern w:val="2"/>
      <w:sz w:val="21"/>
      <w:szCs w:val="21"/>
    </w:rPr>
  </w:style>
  <w:style w:type="character" w:customStyle="1" w:styleId="22">
    <w:name w:val="标题 1 字符"/>
    <w:basedOn w:val="12"/>
    <w:link w:val="2"/>
    <w:qFormat/>
    <w:uiPriority w:val="9"/>
    <w:rPr>
      <w:rFonts w:cs="Calibri"/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character" w:customStyle="1" w:styleId="24">
    <w:name w:val="日期 字符"/>
    <w:basedOn w:val="12"/>
    <w:link w:val="4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805</Words>
  <Characters>4591</Characters>
  <Lines>38</Lines>
  <Paragraphs>10</Paragraphs>
  <TotalTime>257</TotalTime>
  <ScaleCrop>false</ScaleCrop>
  <LinksUpToDate>false</LinksUpToDate>
  <CharactersWithSpaces>5386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2013-02-21T22:59:00Z</dcterms:created>
  <dc:creator>luo</dc:creator>
  <cp:lastModifiedBy>yljgc03</cp:lastModifiedBy>
  <cp:lastPrinted>2023-09-26T13:42:00Z</cp:lastPrinted>
  <dcterms:modified xsi:type="dcterms:W3CDTF">2023-12-01T13:48:55Z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