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黑体" w:hAnsi="黑体" w:eastAsia="黑体"/>
          <w:sz w:val="28"/>
          <w:szCs w:val="28"/>
        </w:rPr>
      </w:pPr>
      <w:r>
        <w:rPr>
          <w:rFonts w:hint="eastAsia" w:ascii="黑体" w:hAnsi="黑体" w:eastAsia="黑体"/>
          <w:sz w:val="28"/>
          <w:szCs w:val="28"/>
        </w:rPr>
        <w:t xml:space="preserve"> </w:t>
      </w:r>
    </w:p>
    <w:p>
      <w:pPr>
        <w:rPr>
          <w:rFonts w:eastAsia="方正小标宋简体"/>
          <w:b/>
          <w:sz w:val="60"/>
          <w:shd w:val="pct10" w:color="auto" w:fill="FFFFFF"/>
        </w:rPr>
      </w:pPr>
    </w:p>
    <w:p>
      <w:pPr>
        <w:jc w:val="center"/>
        <w:rPr>
          <w:rFonts w:eastAsia="方正小标宋简体"/>
          <w:b/>
          <w:sz w:val="60"/>
        </w:rPr>
      </w:pPr>
    </w:p>
    <w:p>
      <w:pPr>
        <w:jc w:val="center"/>
        <w:rPr>
          <w:rFonts w:ascii="华文中宋" w:hAnsi="华文中宋" w:eastAsia="华文中宋"/>
          <w:sz w:val="100"/>
        </w:rPr>
      </w:pPr>
      <w:r>
        <w:rPr>
          <w:rFonts w:ascii="华文中宋" w:hAnsi="华文中宋" w:eastAsia="华文中宋"/>
          <w:sz w:val="100"/>
        </w:rPr>
        <w:t>医师资格考试大纲</w:t>
      </w:r>
    </w:p>
    <w:p>
      <w:pPr>
        <w:snapToGrid w:val="0"/>
        <w:jc w:val="center"/>
        <w:rPr>
          <w:rFonts w:eastAsia="仿宋_GB2312"/>
          <w:sz w:val="60"/>
          <w:szCs w:val="60"/>
        </w:rPr>
      </w:pPr>
    </w:p>
    <w:p>
      <w:pPr>
        <w:snapToGrid w:val="0"/>
        <w:jc w:val="center"/>
        <w:rPr>
          <w:rFonts w:eastAsia="仿宋_GB2312"/>
          <w:sz w:val="60"/>
          <w:szCs w:val="60"/>
        </w:rPr>
      </w:pPr>
      <w:r>
        <w:rPr>
          <w:rFonts w:hint="eastAsia" w:eastAsia="仿宋_GB2312"/>
          <w:sz w:val="60"/>
          <w:szCs w:val="60"/>
        </w:rPr>
        <w:t>公共卫生执业助理医师</w:t>
      </w:r>
    </w:p>
    <w:p>
      <w:pPr>
        <w:snapToGrid w:val="0"/>
        <w:rPr>
          <w:rFonts w:eastAsia="仿宋_GB2312"/>
          <w:sz w:val="32"/>
        </w:rPr>
      </w:pPr>
    </w:p>
    <w:p>
      <w:pPr>
        <w:snapToGrid w:val="0"/>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jc w:val="center"/>
        <w:rPr>
          <w:rFonts w:ascii="楷体" w:hAnsi="楷体" w:eastAsia="楷体"/>
          <w:sz w:val="44"/>
        </w:rPr>
      </w:pPr>
      <w:r>
        <w:rPr>
          <w:rFonts w:hint="eastAsia" w:ascii="楷体" w:hAnsi="楷体" w:eastAsia="楷体"/>
          <w:sz w:val="44"/>
        </w:rPr>
        <w:t>国家卫生健康委员会</w:t>
      </w:r>
    </w:p>
    <w:p>
      <w:pPr>
        <w:jc w:val="center"/>
        <w:rPr>
          <w:rFonts w:ascii="楷体" w:hAnsi="楷体" w:eastAsia="楷体"/>
          <w:sz w:val="44"/>
        </w:rPr>
      </w:pPr>
      <w:r>
        <w:rPr>
          <w:rFonts w:hint="eastAsia" w:ascii="楷体" w:hAnsi="楷体" w:eastAsia="楷体"/>
          <w:sz w:val="44"/>
        </w:rPr>
        <w:t>医师资格考试委员会</w:t>
      </w:r>
    </w:p>
    <w:p>
      <w:pPr>
        <w:jc w:val="center"/>
        <w:rPr>
          <w:rFonts w:ascii="楷体" w:hAnsi="楷体" w:eastAsia="楷体"/>
          <w:sz w:val="44"/>
        </w:rPr>
      </w:pPr>
    </w:p>
    <w:p>
      <w:pPr>
        <w:jc w:val="center"/>
        <w:rPr>
          <w:rFonts w:eastAsia="楷体"/>
          <w:sz w:val="44"/>
        </w:rPr>
      </w:pPr>
      <w:r>
        <w:rPr>
          <w:rFonts w:eastAsia="楷体"/>
          <w:kern w:val="0"/>
          <w:sz w:val="44"/>
        </w:rPr>
        <w:t>2023年</w:t>
      </w:r>
      <w:r>
        <w:rPr>
          <w:rFonts w:hint="eastAsia" w:eastAsia="楷体"/>
          <w:kern w:val="0"/>
          <w:sz w:val="44"/>
          <w:lang w:val="en-US" w:eastAsia="zh-CN"/>
        </w:rPr>
        <w:t>11</w:t>
      </w:r>
      <w:r>
        <w:rPr>
          <w:rFonts w:eastAsia="楷体"/>
          <w:kern w:val="0"/>
          <w:sz w:val="44"/>
        </w:rPr>
        <w:t>月</w:t>
      </w:r>
    </w:p>
    <w:p>
      <w:pPr>
        <w:widowControl/>
        <w:jc w:val="left"/>
        <w:rPr>
          <w:rFonts w:eastAsia="黑体"/>
          <w:b/>
          <w:kern w:val="0"/>
          <w:sz w:val="44"/>
        </w:rPr>
      </w:pPr>
    </w:p>
    <w:p>
      <w:pPr>
        <w:widowControl/>
        <w:jc w:val="center"/>
        <w:outlineLvl w:val="0"/>
        <w:rPr>
          <w:rFonts w:eastAsia="黑体"/>
          <w:b/>
          <w:kern w:val="0"/>
          <w:sz w:val="44"/>
        </w:rPr>
      </w:pPr>
    </w:p>
    <w:p>
      <w:pPr>
        <w:widowControl/>
        <w:outlineLvl w:val="0"/>
        <w:rPr>
          <w:rFonts w:eastAsia="黑体"/>
          <w:b/>
          <w:kern w:val="0"/>
          <w:sz w:val="44"/>
        </w:rPr>
        <w:sectPr>
          <w:headerReference r:id="rId3" w:type="first"/>
          <w:footerReference r:id="rId4" w:type="default"/>
          <w:pgSz w:w="11906" w:h="16838"/>
          <w:pgMar w:top="1440" w:right="1800" w:bottom="1440" w:left="1800" w:header="851" w:footer="992" w:gutter="0"/>
          <w:cols w:space="425" w:num="1"/>
          <w:titlePg/>
          <w:docGrid w:type="lines" w:linePitch="312" w:charSpace="0"/>
        </w:sectPr>
      </w:pPr>
    </w:p>
    <w:p>
      <w:pPr>
        <w:spacing w:line="1100" w:lineRule="exact"/>
        <w:jc w:val="center"/>
        <w:outlineLvl w:val="0"/>
        <w:rPr>
          <w:rFonts w:ascii="华文中宋" w:hAnsi="华文中宋" w:eastAsia="华文中宋" w:cs="微软雅黑"/>
          <w:b/>
          <w:sz w:val="44"/>
          <w:szCs w:val="44"/>
        </w:rPr>
      </w:pPr>
      <w:r>
        <w:rPr>
          <w:rFonts w:hint="eastAsia" w:ascii="华文中宋" w:hAnsi="华文中宋" w:eastAsia="华文中宋" w:cs="微软雅黑"/>
          <w:b/>
          <w:sz w:val="44"/>
          <w:szCs w:val="44"/>
        </w:rPr>
        <w:t>前</w:t>
      </w:r>
      <w:r>
        <w:rPr>
          <w:rFonts w:ascii="华文中宋" w:hAnsi="华文中宋" w:eastAsia="华文中宋" w:cs="微软雅黑"/>
          <w:b/>
          <w:sz w:val="44"/>
          <w:szCs w:val="44"/>
        </w:rPr>
        <w:t xml:space="preserve">  </w:t>
      </w:r>
      <w:r>
        <w:rPr>
          <w:rFonts w:hint="eastAsia" w:ascii="华文中宋" w:hAnsi="华文中宋" w:eastAsia="华文中宋" w:cs="微软雅黑"/>
          <w:b/>
          <w:sz w:val="44"/>
          <w:szCs w:val="44"/>
        </w:rPr>
        <w:t>言</w:t>
      </w:r>
    </w:p>
    <w:p>
      <w:pPr>
        <w:ind w:firstLine="640" w:firstLineChars="200"/>
        <w:rPr>
          <w:rFonts w:eastAsia="仿宋_GB2312"/>
          <w:sz w:val="32"/>
          <w:szCs w:val="32"/>
        </w:rPr>
      </w:pPr>
    </w:p>
    <w:p>
      <w:pPr>
        <w:ind w:firstLine="420" w:firstLineChars="200"/>
        <w:rPr>
          <w:rFonts w:eastAsiaTheme="minorEastAsia"/>
          <w:szCs w:val="21"/>
        </w:rPr>
      </w:pPr>
      <w:r>
        <w:rPr>
          <w:rFonts w:eastAsiaTheme="minorEastAsia"/>
          <w:szCs w:val="21"/>
        </w:rPr>
        <w:t>《中华人民共和国医师法》规定，国家实行医师资格考试制度。医师资格考试成绩合格，取得执业医师资格或者执业助理医师资格。获得医师资格者，方可申请注册并在医疗</w:t>
      </w:r>
      <w:r>
        <w:rPr>
          <w:rFonts w:hint="eastAsia" w:eastAsiaTheme="minorEastAsia"/>
          <w:szCs w:val="21"/>
        </w:rPr>
        <w:t>卫生</w:t>
      </w:r>
      <w:r>
        <w:rPr>
          <w:rFonts w:eastAsiaTheme="minorEastAsia"/>
          <w:szCs w:val="21"/>
        </w:rPr>
        <w:t>机构中按照注册的执业地点、执业类别、执业范围</w:t>
      </w:r>
      <w:r>
        <w:rPr>
          <w:rFonts w:hint="eastAsia" w:eastAsiaTheme="minorEastAsia"/>
          <w:szCs w:val="21"/>
        </w:rPr>
        <w:t>执业，</w:t>
      </w:r>
      <w:r>
        <w:rPr>
          <w:rFonts w:eastAsiaTheme="minorEastAsia"/>
          <w:szCs w:val="21"/>
        </w:rPr>
        <w:t>从事</w:t>
      </w:r>
      <w:r>
        <w:rPr>
          <w:rFonts w:hint="eastAsia" w:eastAsiaTheme="minorEastAsia"/>
          <w:szCs w:val="21"/>
        </w:rPr>
        <w:t>相应的医疗卫生服务</w:t>
      </w:r>
      <w:r>
        <w:rPr>
          <w:rFonts w:eastAsiaTheme="minorEastAsia"/>
          <w:szCs w:val="21"/>
        </w:rPr>
        <w:t>。</w:t>
      </w:r>
      <w:r>
        <w:rPr>
          <w:rFonts w:hint="eastAsia"/>
          <w:szCs w:val="21"/>
        </w:rPr>
        <w:t>医师应当坚持人民至上、生命至上，发扬人道主义精神，弘扬敬佑生命、救死扶伤、甘于奉献、大爱无疆的职业精神，恪守职业道德，遵守执业规范，提高执业水平，履行防病治病、保护人民健康的神圣职责。</w:t>
      </w:r>
      <w:r>
        <w:rPr>
          <w:rFonts w:eastAsiaTheme="minorEastAsia"/>
          <w:szCs w:val="21"/>
        </w:rPr>
        <w:t>根据上述规定，公共卫生执业助理医师应符合以下具体要求：</w:t>
      </w:r>
    </w:p>
    <w:p>
      <w:pPr>
        <w:ind w:firstLine="421" w:firstLineChars="200"/>
        <w:rPr>
          <w:rFonts w:eastAsiaTheme="minorEastAsia"/>
          <w:b/>
          <w:szCs w:val="21"/>
        </w:rPr>
      </w:pPr>
      <w:r>
        <w:rPr>
          <w:rFonts w:eastAsiaTheme="minorEastAsia"/>
          <w:b/>
          <w:szCs w:val="21"/>
        </w:rPr>
        <w:t>一、专业、学历及工作经历</w:t>
      </w:r>
    </w:p>
    <w:p>
      <w:pPr>
        <w:adjustRightInd w:val="0"/>
        <w:snapToGrid w:val="0"/>
        <w:ind w:firstLine="420" w:firstLineChars="200"/>
        <w:rPr>
          <w:rFonts w:eastAsiaTheme="minorEastAsia"/>
          <w:szCs w:val="21"/>
        </w:rPr>
      </w:pPr>
      <w:r>
        <w:rPr>
          <w:rFonts w:hint="eastAsia" w:eastAsiaTheme="minorEastAsia"/>
          <w:szCs w:val="21"/>
        </w:rPr>
        <w:t>符合《中华人民共和国医师法》、《医师资格考试暂行办法》及国家规定的专业、学历和医学专业工作实践经历。</w:t>
      </w:r>
    </w:p>
    <w:p>
      <w:pPr>
        <w:ind w:firstLine="421" w:firstLineChars="200"/>
        <w:rPr>
          <w:b/>
          <w:szCs w:val="21"/>
        </w:rPr>
      </w:pPr>
      <w:r>
        <w:rPr>
          <w:b/>
          <w:szCs w:val="21"/>
        </w:rPr>
        <w:t>二、基本素质</w:t>
      </w:r>
    </w:p>
    <w:p>
      <w:pPr>
        <w:ind w:firstLine="420" w:firstLineChars="200"/>
        <w:rPr>
          <w:szCs w:val="21"/>
        </w:rPr>
      </w:pPr>
      <w:r>
        <w:rPr>
          <w:szCs w:val="21"/>
        </w:rPr>
        <w:t>（一）具有正确的世界观、人生观和价值观，热爱祖国，服务人民，愿为国家公共卫生事业的发展和公众身心健康水平的提高奋斗终</w:t>
      </w:r>
      <w:r>
        <w:rPr>
          <w:rFonts w:hint="eastAsia"/>
          <w:szCs w:val="21"/>
        </w:rPr>
        <w:t>生</w:t>
      </w:r>
      <w:r>
        <w:rPr>
          <w:szCs w:val="21"/>
        </w:rPr>
        <w:t>。</w:t>
      </w:r>
    </w:p>
    <w:p>
      <w:pPr>
        <w:ind w:firstLine="420" w:firstLineChars="200"/>
        <w:rPr>
          <w:szCs w:val="21"/>
        </w:rPr>
      </w:pPr>
      <w:r>
        <w:rPr>
          <w:szCs w:val="21"/>
        </w:rPr>
        <w:t>（二）贯彻预防为主的方针，珍视生命，关爱健康，能将预防和控制疾病、维护人民的健康利益作为自己的职业责任。</w:t>
      </w:r>
    </w:p>
    <w:p>
      <w:pPr>
        <w:ind w:firstLine="420" w:firstLineChars="200"/>
        <w:rPr>
          <w:szCs w:val="21"/>
        </w:rPr>
      </w:pPr>
      <w:r>
        <w:rPr>
          <w:szCs w:val="21"/>
        </w:rPr>
        <w:t>（三）具有依法执业的意识，掌握常用的法律法规、卫生规章及标准，能依法维护社会公共卫生秩序，依法维护公众权益。</w:t>
      </w:r>
    </w:p>
    <w:p>
      <w:pPr>
        <w:ind w:firstLine="420" w:firstLineChars="200"/>
        <w:rPr>
          <w:szCs w:val="21"/>
        </w:rPr>
      </w:pPr>
      <w:r>
        <w:rPr>
          <w:szCs w:val="21"/>
        </w:rPr>
        <w:t>（四）具有终身学习意识，能积极主动获取相关学科知识和技能，并认识到持续自我完善的重要性。</w:t>
      </w:r>
    </w:p>
    <w:p>
      <w:pPr>
        <w:ind w:firstLine="420" w:firstLineChars="200"/>
        <w:rPr>
          <w:szCs w:val="21"/>
        </w:rPr>
      </w:pPr>
      <w:r>
        <w:rPr>
          <w:szCs w:val="21"/>
        </w:rPr>
        <w:t>（五）具有集体主义观念、团队协作精神及社会工作适应性，尊重同事和其他医疗卫生保健专业人员。</w:t>
      </w:r>
    </w:p>
    <w:p>
      <w:pPr>
        <w:ind w:firstLine="420" w:firstLineChars="200"/>
        <w:rPr>
          <w:szCs w:val="21"/>
        </w:rPr>
      </w:pPr>
      <w:r>
        <w:rPr>
          <w:szCs w:val="21"/>
        </w:rPr>
        <w:t>（六）具有良好的心理素质，在执业活动中重视伦理道德，尊重公民个人信仰，理解他人的人文背景及价值观，保护个人隐私。</w:t>
      </w:r>
    </w:p>
    <w:p>
      <w:pPr>
        <w:ind w:firstLine="420" w:firstLineChars="200"/>
        <w:rPr>
          <w:szCs w:val="21"/>
        </w:rPr>
      </w:pPr>
      <w:r>
        <w:rPr>
          <w:szCs w:val="21"/>
        </w:rPr>
        <w:t>（七）具备应用各种技术提供公共卫生服务的能力，维护社会公众健康权益。</w:t>
      </w:r>
    </w:p>
    <w:p>
      <w:pPr>
        <w:ind w:firstLine="420" w:firstLineChars="200"/>
        <w:rPr>
          <w:rFonts w:eastAsiaTheme="minorEastAsia"/>
          <w:szCs w:val="21"/>
        </w:rPr>
      </w:pPr>
      <w:r>
        <w:rPr>
          <w:szCs w:val="21"/>
        </w:rPr>
        <w:t>（八）具有科学态度、创新和实事求是的精神。</w:t>
      </w:r>
    </w:p>
    <w:p>
      <w:pPr>
        <w:ind w:firstLine="421" w:firstLineChars="200"/>
        <w:rPr>
          <w:rFonts w:eastAsiaTheme="minorEastAsia"/>
          <w:b/>
          <w:szCs w:val="21"/>
        </w:rPr>
      </w:pPr>
      <w:r>
        <w:rPr>
          <w:rFonts w:eastAsiaTheme="minorEastAsia"/>
          <w:b/>
          <w:szCs w:val="21"/>
        </w:rPr>
        <w:t>三、基本理论和基本知识</w:t>
      </w:r>
    </w:p>
    <w:p>
      <w:pPr>
        <w:ind w:firstLine="420" w:firstLineChars="200"/>
        <w:rPr>
          <w:rFonts w:eastAsiaTheme="minorEastAsia"/>
          <w:szCs w:val="21"/>
        </w:rPr>
      </w:pPr>
      <w:r>
        <w:rPr>
          <w:rFonts w:eastAsiaTheme="minorEastAsia"/>
          <w:szCs w:val="21"/>
        </w:rPr>
        <w:t>（一）掌握正常的人体结构和功能，了解基本的生理学和生物化学机制，了解生命周期各阶段的生理、心理和行为特点及其对健康影响的基础理论知识。</w:t>
      </w:r>
    </w:p>
    <w:p>
      <w:pPr>
        <w:ind w:firstLine="420" w:firstLineChars="200"/>
        <w:rPr>
          <w:rFonts w:eastAsiaTheme="minorEastAsia"/>
          <w:szCs w:val="21"/>
        </w:rPr>
      </w:pPr>
      <w:r>
        <w:rPr>
          <w:rFonts w:eastAsiaTheme="minorEastAsia"/>
          <w:szCs w:val="21"/>
        </w:rPr>
        <w:t>（二）掌握流行病学方法，以及重大传染病和常见的传染病、地方病、寄生虫病、慢性非传染性疾病、职业病、营养相关性疾病、食源性疾病、环境相关性疾病、中毒等流行规律和预防控制原则。</w:t>
      </w:r>
    </w:p>
    <w:p>
      <w:pPr>
        <w:ind w:firstLine="420" w:firstLineChars="200"/>
        <w:rPr>
          <w:rFonts w:eastAsiaTheme="minorEastAsia"/>
          <w:szCs w:val="21"/>
        </w:rPr>
      </w:pPr>
      <w:r>
        <w:rPr>
          <w:rFonts w:eastAsiaTheme="minorEastAsia"/>
          <w:szCs w:val="21"/>
        </w:rPr>
        <w:t>（三）掌握环境卫生、职业卫生、营养与食品卫生、放射卫生等专业的基础理论知识及环境、社会、遗传等因素对人群健康的影响。</w:t>
      </w:r>
    </w:p>
    <w:p>
      <w:pPr>
        <w:ind w:firstLine="420" w:firstLineChars="200"/>
        <w:rPr>
          <w:rFonts w:eastAsiaTheme="minorEastAsia"/>
          <w:szCs w:val="21"/>
        </w:rPr>
      </w:pPr>
      <w:r>
        <w:rPr>
          <w:rFonts w:eastAsiaTheme="minorEastAsia"/>
          <w:szCs w:val="21"/>
        </w:rPr>
        <w:t>（四）了解突发公共卫生事件识别和处理的基本知识和原则。</w:t>
      </w:r>
    </w:p>
    <w:p>
      <w:pPr>
        <w:ind w:firstLine="420" w:firstLineChars="200"/>
        <w:rPr>
          <w:rFonts w:eastAsiaTheme="minorEastAsia"/>
          <w:szCs w:val="21"/>
        </w:rPr>
      </w:pPr>
      <w:r>
        <w:rPr>
          <w:rFonts w:eastAsiaTheme="minorEastAsia"/>
          <w:szCs w:val="21"/>
        </w:rPr>
        <w:t>（五）掌握免疫规划、消毒与病媒生物防制的基础理论、基本知识和方法。</w:t>
      </w:r>
    </w:p>
    <w:p>
      <w:pPr>
        <w:ind w:firstLine="420" w:firstLineChars="200"/>
        <w:rPr>
          <w:rFonts w:eastAsiaTheme="minorEastAsia"/>
          <w:szCs w:val="21"/>
        </w:rPr>
      </w:pPr>
      <w:r>
        <w:rPr>
          <w:rFonts w:eastAsiaTheme="minorEastAsia"/>
          <w:szCs w:val="21"/>
        </w:rPr>
        <w:t>（六）掌握健康教育与健康促进的基础理论知识。熟悉维护心理健康的基本方法。</w:t>
      </w:r>
    </w:p>
    <w:p>
      <w:pPr>
        <w:ind w:firstLine="420" w:firstLineChars="200"/>
        <w:rPr>
          <w:rFonts w:eastAsiaTheme="minorEastAsia"/>
          <w:szCs w:val="21"/>
        </w:rPr>
      </w:pPr>
      <w:r>
        <w:rPr>
          <w:rFonts w:eastAsiaTheme="minorEastAsia"/>
          <w:szCs w:val="21"/>
        </w:rPr>
        <w:t>（七）熟悉内科、外科、妇产科、儿科等常见病的临床表现、诊断及防治原则。</w:t>
      </w:r>
    </w:p>
    <w:p>
      <w:pPr>
        <w:ind w:firstLine="420" w:firstLineChars="200"/>
        <w:rPr>
          <w:rFonts w:eastAsiaTheme="minorEastAsia"/>
          <w:szCs w:val="21"/>
        </w:rPr>
      </w:pPr>
      <w:r>
        <w:rPr>
          <w:rFonts w:eastAsiaTheme="minorEastAsia"/>
          <w:szCs w:val="21"/>
        </w:rPr>
        <w:t>（八）熟悉妇女、儿童、老年人和残疾人等特殊人群的重点卫生问题及卫生保健需求。</w:t>
      </w:r>
    </w:p>
    <w:p>
      <w:pPr>
        <w:ind w:firstLine="420" w:firstLineChars="200"/>
        <w:rPr>
          <w:rFonts w:eastAsiaTheme="minorEastAsia"/>
          <w:szCs w:val="21"/>
        </w:rPr>
      </w:pPr>
      <w:r>
        <w:rPr>
          <w:rFonts w:eastAsiaTheme="minorEastAsia"/>
          <w:szCs w:val="21"/>
        </w:rPr>
        <w:t>（九）了解我国公共卫生相关的法律法规、规章和标准。</w:t>
      </w:r>
    </w:p>
    <w:p>
      <w:pPr>
        <w:ind w:firstLine="421" w:firstLineChars="200"/>
        <w:rPr>
          <w:rFonts w:eastAsiaTheme="minorEastAsia"/>
          <w:b/>
          <w:szCs w:val="21"/>
        </w:rPr>
      </w:pPr>
      <w:r>
        <w:rPr>
          <w:rFonts w:eastAsiaTheme="minorEastAsia"/>
          <w:b/>
          <w:szCs w:val="21"/>
        </w:rPr>
        <w:t>四、基本技能</w:t>
      </w:r>
    </w:p>
    <w:p>
      <w:pPr>
        <w:ind w:firstLine="420" w:firstLineChars="200"/>
        <w:rPr>
          <w:rFonts w:eastAsiaTheme="minorEastAsia"/>
          <w:szCs w:val="21"/>
        </w:rPr>
      </w:pPr>
      <w:r>
        <w:rPr>
          <w:rFonts w:eastAsiaTheme="minorEastAsia"/>
          <w:szCs w:val="21"/>
        </w:rPr>
        <w:t>（一）掌握开展人群健康状况及其影响因素的监测、筛查和流行病学调查的技能。</w:t>
      </w:r>
    </w:p>
    <w:p>
      <w:pPr>
        <w:ind w:firstLine="420" w:firstLineChars="200"/>
        <w:rPr>
          <w:rFonts w:eastAsiaTheme="minorEastAsia"/>
          <w:szCs w:val="21"/>
        </w:rPr>
      </w:pPr>
      <w:r>
        <w:rPr>
          <w:rFonts w:eastAsiaTheme="minorEastAsia"/>
          <w:szCs w:val="21"/>
        </w:rPr>
        <w:t>（二）掌握常见传染病暴发、流行及突发公共卫生事件的识别、信息报告与应急处理基本技能。掌握实施预防接种相关工作的技能。</w:t>
      </w:r>
    </w:p>
    <w:p>
      <w:pPr>
        <w:ind w:firstLine="420" w:firstLineChars="200"/>
        <w:rPr>
          <w:rFonts w:eastAsiaTheme="minorEastAsia"/>
          <w:szCs w:val="21"/>
        </w:rPr>
      </w:pPr>
      <w:r>
        <w:rPr>
          <w:rFonts w:eastAsiaTheme="minorEastAsia"/>
          <w:szCs w:val="21"/>
        </w:rPr>
        <w:t>（三）掌握公共卫生相关疾病的信息收集、体格检查和现场急救的基本技能，具有规范书写常用医学文书的能力。</w:t>
      </w:r>
    </w:p>
    <w:p>
      <w:pPr>
        <w:ind w:firstLine="420" w:firstLineChars="200"/>
        <w:rPr>
          <w:rFonts w:eastAsiaTheme="minorEastAsia"/>
          <w:szCs w:val="21"/>
        </w:rPr>
      </w:pPr>
      <w:r>
        <w:rPr>
          <w:rFonts w:eastAsiaTheme="minorEastAsia"/>
          <w:szCs w:val="21"/>
        </w:rPr>
        <w:t>（四）初步掌握运用卫生统计学的方法进行资料收集、整理和分析，并对结果进行解释和表达的技能。</w:t>
      </w:r>
    </w:p>
    <w:p>
      <w:pPr>
        <w:ind w:firstLine="420" w:firstLineChars="200"/>
        <w:rPr>
          <w:rFonts w:eastAsiaTheme="minorEastAsia"/>
          <w:szCs w:val="21"/>
        </w:rPr>
      </w:pPr>
      <w:r>
        <w:rPr>
          <w:rFonts w:eastAsiaTheme="minorEastAsia"/>
          <w:szCs w:val="21"/>
        </w:rPr>
        <w:t>（五）掌握常用的现场采样和检测方法的基本技能。</w:t>
      </w:r>
    </w:p>
    <w:p>
      <w:pPr>
        <w:ind w:firstLine="420" w:firstLineChars="200"/>
        <w:rPr>
          <w:rFonts w:eastAsiaTheme="minorEastAsia"/>
          <w:szCs w:val="21"/>
        </w:rPr>
      </w:pPr>
      <w:r>
        <w:rPr>
          <w:rFonts w:eastAsiaTheme="minorEastAsia"/>
          <w:szCs w:val="21"/>
        </w:rPr>
        <w:t>（六）初步掌握公共卫生监测数据的采集及报送的基本技能。</w:t>
      </w:r>
    </w:p>
    <w:p>
      <w:pPr>
        <w:ind w:firstLine="420" w:firstLineChars="200"/>
        <w:rPr>
          <w:rFonts w:eastAsiaTheme="minorEastAsia"/>
          <w:szCs w:val="21"/>
        </w:rPr>
      </w:pPr>
      <w:r>
        <w:rPr>
          <w:rFonts w:eastAsiaTheme="minorEastAsia"/>
          <w:szCs w:val="21"/>
        </w:rPr>
        <w:t>（七）初步掌握在人群中开展健康教育和健康促进的基本技能。</w:t>
      </w:r>
    </w:p>
    <w:p>
      <w:pPr>
        <w:ind w:firstLine="420" w:firstLineChars="200"/>
        <w:rPr>
          <w:rFonts w:eastAsiaTheme="minorEastAsia"/>
          <w:szCs w:val="21"/>
        </w:rPr>
      </w:pPr>
      <w:r>
        <w:rPr>
          <w:rFonts w:eastAsiaTheme="minorEastAsia"/>
          <w:szCs w:val="21"/>
        </w:rPr>
        <w:t>（八）初步掌握与公众、媒体及其他相关人员进行有效沟通和协调的基本技能。</w:t>
      </w:r>
    </w:p>
    <w:p>
      <w:pPr>
        <w:ind w:firstLine="420" w:firstLineChars="200"/>
        <w:rPr>
          <w:rFonts w:eastAsiaTheme="minorEastAsia"/>
          <w:szCs w:val="21"/>
        </w:rPr>
      </w:pPr>
      <w:r>
        <w:rPr>
          <w:rFonts w:eastAsiaTheme="minorEastAsia"/>
          <w:szCs w:val="21"/>
        </w:rPr>
        <w:t>（九）具有一定的自学和知识更新的能力。</w:t>
      </w:r>
    </w:p>
    <w:p>
      <w:pPr>
        <w:ind w:firstLine="420" w:firstLineChars="200"/>
        <w:rPr>
          <w:rFonts w:eastAsiaTheme="minorEastAsia"/>
          <w:szCs w:val="21"/>
        </w:rPr>
      </w:pPr>
      <w:r>
        <w:rPr>
          <w:rFonts w:eastAsiaTheme="minorEastAsia"/>
          <w:szCs w:val="21"/>
        </w:rPr>
        <w:t>根据以上要求，制定公共卫生执业助理医师资格考试大纲，作为考试的</w:t>
      </w:r>
      <w:r>
        <w:rPr>
          <w:rFonts w:hint="eastAsia" w:eastAsiaTheme="minorEastAsia"/>
          <w:szCs w:val="21"/>
        </w:rPr>
        <w:t>依据</w:t>
      </w:r>
      <w:r>
        <w:rPr>
          <w:rFonts w:eastAsiaTheme="minorEastAsia"/>
          <w:szCs w:val="21"/>
        </w:rPr>
        <w:t>。</w:t>
      </w:r>
    </w:p>
    <w:p>
      <w:pPr>
        <w:ind w:firstLine="420" w:firstLineChars="200"/>
        <w:rPr>
          <w:rFonts w:eastAsiaTheme="minorEastAsia"/>
          <w:szCs w:val="21"/>
        </w:rPr>
      </w:pPr>
      <w:r>
        <w:rPr>
          <w:rFonts w:eastAsiaTheme="minorEastAsia"/>
          <w:szCs w:val="21"/>
        </w:rPr>
        <w:t>本大纲自2024年起使用。</w:t>
      </w:r>
    </w:p>
    <w:p>
      <w:pPr>
        <w:ind w:firstLine="640" w:firstLineChars="200"/>
        <w:rPr>
          <w:rFonts w:eastAsiaTheme="minorEastAsia"/>
          <w:sz w:val="32"/>
          <w:szCs w:val="32"/>
        </w:rPr>
      </w:pPr>
    </w:p>
    <w:p>
      <w:pPr>
        <w:widowControl/>
        <w:jc w:val="left"/>
        <w:rPr>
          <w:rFonts w:eastAsiaTheme="minorEastAsia"/>
          <w:sz w:val="32"/>
          <w:szCs w:val="32"/>
        </w:rPr>
      </w:pPr>
    </w:p>
    <w:p>
      <w:pPr>
        <w:widowControl/>
        <w:jc w:val="left"/>
        <w:rPr>
          <w:rFonts w:eastAsia="方正小标宋简体"/>
          <w:sz w:val="44"/>
          <w:szCs w:val="44"/>
        </w:rPr>
        <w:sectPr>
          <w:footerReference r:id="rId5" w:type="default"/>
          <w:pgSz w:w="11906" w:h="16838"/>
          <w:pgMar w:top="1440" w:right="1800" w:bottom="1440" w:left="1800" w:header="851" w:footer="992" w:gutter="0"/>
          <w:pgNumType w:start="1"/>
          <w:cols w:space="720" w:num="1"/>
          <w:docGrid w:type="lines" w:linePitch="312" w:charSpace="0"/>
        </w:sectPr>
      </w:pPr>
      <w:r>
        <w:rPr>
          <w:rFonts w:eastAsia="方正小标宋简体"/>
          <w:sz w:val="44"/>
          <w:szCs w:val="44"/>
        </w:rPr>
        <w:br w:type="page"/>
      </w:r>
    </w:p>
    <w:p>
      <w:pPr>
        <w:jc w:val="center"/>
        <w:rPr>
          <w:rFonts w:ascii="方正小标宋简体" w:hAnsi="方正小标宋简体" w:eastAsia="方正小标宋简体"/>
          <w:sz w:val="52"/>
          <w:szCs w:val="52"/>
        </w:rPr>
      </w:pPr>
      <w:bookmarkStart w:id="55" w:name="_GoBack"/>
      <w:bookmarkEnd w:id="55"/>
      <w:r>
        <w:rPr>
          <w:rFonts w:ascii="方正小标宋简体" w:hAnsi="方正小标宋简体" w:eastAsia="方正小标宋简体"/>
          <w:sz w:val="52"/>
          <w:szCs w:val="52"/>
        </w:rPr>
        <w:t>目录</w:t>
      </w:r>
    </w:p>
    <w:p>
      <w:pPr>
        <w:pStyle w:val="10"/>
        <w:tabs>
          <w:tab w:val="right" w:leader="dot" w:pos="8296"/>
        </w:tabs>
        <w:rPr>
          <w:rFonts w:asciiTheme="minorHAnsi" w:hAnsiTheme="minorHAnsi" w:eastAsiaTheme="minorEastAsia" w:cstheme="minorBidi"/>
          <w:szCs w:val="22"/>
        </w:rPr>
      </w:pPr>
      <w:r>
        <w:rPr>
          <w:rFonts w:asciiTheme="minorEastAsia" w:hAnsiTheme="minorEastAsia"/>
          <w:b/>
          <w:sz w:val="22"/>
        </w:rPr>
        <w:fldChar w:fldCharType="begin"/>
      </w:r>
      <w:r>
        <w:rPr>
          <w:rFonts w:asciiTheme="minorEastAsia" w:hAnsiTheme="minorEastAsia"/>
          <w:b/>
          <w:sz w:val="22"/>
        </w:rPr>
        <w:instrText xml:space="preserve"> TOC \o "1-3" \h \z \t "样式1,1,样式2,2" </w:instrText>
      </w:r>
      <w:r>
        <w:rPr>
          <w:rFonts w:asciiTheme="minorEastAsia" w:hAnsiTheme="minorEastAsia"/>
          <w:b/>
          <w:sz w:val="22"/>
        </w:rPr>
        <w:fldChar w:fldCharType="separate"/>
      </w:r>
      <w:r>
        <w:fldChar w:fldCharType="begin"/>
      </w:r>
      <w:r>
        <w:instrText xml:space="preserve"> HYPERLINK \l "_Toc144217041" </w:instrText>
      </w:r>
      <w:r>
        <w:fldChar w:fldCharType="separate"/>
      </w:r>
      <w:r>
        <w:rPr>
          <w:rStyle w:val="17"/>
        </w:rPr>
        <w:t>第一部分 医学人文综合</w:t>
      </w:r>
      <w:r>
        <w:tab/>
      </w:r>
      <w:r>
        <w:fldChar w:fldCharType="begin"/>
      </w:r>
      <w:r>
        <w:instrText xml:space="preserve"> PAGEREF _Toc144217041 \h </w:instrText>
      </w:r>
      <w:r>
        <w:fldChar w:fldCharType="separate"/>
      </w:r>
      <w:r>
        <w:t>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"_Toc144217042" </w:instrText>
      </w:r>
      <w:r>
        <w:fldChar w:fldCharType="separate"/>
      </w:r>
      <w:r>
        <w:rPr>
          <w:rStyle w:val="17"/>
        </w:rPr>
        <w:t>一、医学心理学</w:t>
      </w:r>
      <w:r>
        <w:tab/>
      </w:r>
      <w:r>
        <w:fldChar w:fldCharType="begin"/>
      </w:r>
      <w:r>
        <w:instrText xml:space="preserve"> PAGEREF _Toc144217042 \h </w:instrText>
      </w:r>
      <w:r>
        <w:fldChar w:fldCharType="separate"/>
      </w:r>
      <w:r>
        <w:t>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"_Toc144217043" </w:instrText>
      </w:r>
      <w:r>
        <w:fldChar w:fldCharType="separate"/>
      </w:r>
      <w:r>
        <w:rPr>
          <w:rStyle w:val="17"/>
        </w:rPr>
        <w:t>二、医学伦理学</w:t>
      </w:r>
      <w:r>
        <w:tab/>
      </w:r>
      <w:r>
        <w:fldChar w:fldCharType="begin"/>
      </w:r>
      <w:r>
        <w:instrText xml:space="preserve"> PAGEREF _Toc144217043 \h </w:instrText>
      </w:r>
      <w:r>
        <w:fldChar w:fldCharType="separate"/>
      </w:r>
      <w:r>
        <w:t>3</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"_Toc144217044" </w:instrText>
      </w:r>
      <w:r>
        <w:fldChar w:fldCharType="separate"/>
      </w:r>
      <w:r>
        <w:rPr>
          <w:rStyle w:val="17"/>
        </w:rPr>
        <w:t>三、卫生法规</w:t>
      </w:r>
      <w:r>
        <w:tab/>
      </w:r>
      <w:r>
        <w:fldChar w:fldCharType="begin"/>
      </w:r>
      <w:r>
        <w:instrText xml:space="preserve"> PAGEREF _Toc144217044 \h </w:instrText>
      </w:r>
      <w:r>
        <w:fldChar w:fldCharType="separate"/>
      </w:r>
      <w:r>
        <w:t>5</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"_Toc144217045" </w:instrText>
      </w:r>
      <w:r>
        <w:fldChar w:fldCharType="separate"/>
      </w:r>
      <w:r>
        <w:rPr>
          <w:rStyle w:val="17"/>
        </w:rPr>
        <w:t>四、医学人文素养</w:t>
      </w:r>
      <w:r>
        <w:tab/>
      </w:r>
      <w:r>
        <w:fldChar w:fldCharType="begin"/>
      </w:r>
      <w:r>
        <w:instrText xml:space="preserve"> PAGEREF _Toc144217045 \h </w:instrText>
      </w:r>
      <w:r>
        <w:fldChar w:fldCharType="separate"/>
      </w:r>
      <w:r>
        <w:t>11</w:t>
      </w:r>
      <w:r>
        <w:fldChar w:fldCharType="end"/>
      </w:r>
      <w:r>
        <w:fldChar w:fldCharType="end"/>
      </w:r>
    </w:p>
    <w:p>
      <w:pPr>
        <w:pStyle w:val="10"/>
        <w:tabs>
          <w:tab w:val="right" w:leader="dot" w:pos="8296"/>
        </w:tabs>
        <w:rPr>
          <w:rFonts w:asciiTheme="minorHAnsi" w:hAnsiTheme="minorHAnsi" w:eastAsiaTheme="minorEastAsia" w:cstheme="minorBidi"/>
          <w:szCs w:val="22"/>
        </w:rPr>
      </w:pPr>
      <w:r>
        <w:fldChar w:fldCharType="begin"/>
      </w:r>
      <w:r>
        <w:instrText xml:space="preserve"> HYPERLINK \l "_Toc144217046" </w:instrText>
      </w:r>
      <w:r>
        <w:fldChar w:fldCharType="separate"/>
      </w:r>
      <w:r>
        <w:rPr>
          <w:rStyle w:val="17"/>
        </w:rPr>
        <w:t>第二部分 基础医学综合</w:t>
      </w:r>
      <w:r>
        <w:tab/>
      </w:r>
      <w:r>
        <w:fldChar w:fldCharType="begin"/>
      </w:r>
      <w:r>
        <w:instrText xml:space="preserve"> PAGEREF _Toc144217046 \h </w:instrText>
      </w:r>
      <w:r>
        <w:fldChar w:fldCharType="separate"/>
      </w:r>
      <w:r>
        <w:t>11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"_Toc144217047" </w:instrText>
      </w:r>
      <w:r>
        <w:fldChar w:fldCharType="separate"/>
      </w:r>
      <w:r>
        <w:rPr>
          <w:rStyle w:val="17"/>
        </w:rPr>
        <w:t>一、生物化学</w:t>
      </w:r>
      <w:r>
        <w:tab/>
      </w:r>
      <w:r>
        <w:fldChar w:fldCharType="begin"/>
      </w:r>
      <w:r>
        <w:instrText xml:space="preserve"> PAGEREF _Toc144217047 \h </w:instrText>
      </w:r>
      <w:r>
        <w:fldChar w:fldCharType="separate"/>
      </w:r>
      <w:r>
        <w:t>11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"_Toc144217048" </w:instrText>
      </w:r>
      <w:r>
        <w:fldChar w:fldCharType="separate"/>
      </w:r>
      <w:r>
        <w:rPr>
          <w:rStyle w:val="17"/>
        </w:rPr>
        <w:t>二、生理学</w:t>
      </w:r>
      <w:r>
        <w:tab/>
      </w:r>
      <w:r>
        <w:fldChar w:fldCharType="begin"/>
      </w:r>
      <w:r>
        <w:instrText xml:space="preserve"> PAGEREF _Toc144217048 \h </w:instrText>
      </w:r>
      <w:r>
        <w:fldChar w:fldCharType="separate"/>
      </w:r>
      <w:r>
        <w:t>13</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"_Toc144217049" </w:instrText>
      </w:r>
      <w:r>
        <w:fldChar w:fldCharType="separate"/>
      </w:r>
      <w:r>
        <w:rPr>
          <w:rStyle w:val="17"/>
        </w:rPr>
        <w:t>三、药理学</w:t>
      </w:r>
      <w:r>
        <w:tab/>
      </w:r>
      <w:r>
        <w:fldChar w:fldCharType="begin"/>
      </w:r>
      <w:r>
        <w:instrText xml:space="preserve"> PAGEREF _Toc144217049 \h </w:instrText>
      </w:r>
      <w:r>
        <w:fldChar w:fldCharType="separate"/>
      </w:r>
      <w:r>
        <w:t>15</w:t>
      </w:r>
      <w:r>
        <w:fldChar w:fldCharType="end"/>
      </w:r>
      <w:r>
        <w:fldChar w:fldCharType="end"/>
      </w:r>
    </w:p>
    <w:p>
      <w:pPr>
        <w:pStyle w:val="10"/>
        <w:tabs>
          <w:tab w:val="right" w:leader="dot" w:pos="8296"/>
        </w:tabs>
        <w:rPr>
          <w:rFonts w:asciiTheme="minorHAnsi" w:hAnsiTheme="minorHAnsi" w:eastAsiaTheme="minorEastAsia" w:cstheme="minorBidi"/>
          <w:szCs w:val="22"/>
        </w:rPr>
      </w:pPr>
      <w:r>
        <w:fldChar w:fldCharType="begin"/>
      </w:r>
      <w:r>
        <w:instrText xml:space="preserve"> HYPERLINK \l "_Toc144217050" </w:instrText>
      </w:r>
      <w:r>
        <w:fldChar w:fldCharType="separate"/>
      </w:r>
      <w:r>
        <w:rPr>
          <w:rStyle w:val="17"/>
        </w:rPr>
        <w:t>第三部分 临床医学综合</w:t>
      </w:r>
      <w:r>
        <w:tab/>
      </w:r>
      <w:r>
        <w:fldChar w:fldCharType="begin"/>
      </w:r>
      <w:r>
        <w:instrText xml:space="preserve"> PAGEREF _Toc144217050 \h </w:instrText>
      </w:r>
      <w:r>
        <w:fldChar w:fldCharType="separate"/>
      </w:r>
      <w:r>
        <w:t>19</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"_Toc144217051" </w:instrText>
      </w:r>
      <w:r>
        <w:fldChar w:fldCharType="separate"/>
      </w:r>
      <w:r>
        <w:rPr>
          <w:rStyle w:val="17"/>
        </w:rPr>
        <w:t>一、呼吸系统</w:t>
      </w:r>
      <w:r>
        <w:tab/>
      </w:r>
      <w:r>
        <w:fldChar w:fldCharType="begin"/>
      </w:r>
      <w:r>
        <w:instrText xml:space="preserve"> PAGEREF _Toc144217051 \h </w:instrText>
      </w:r>
      <w:r>
        <w:fldChar w:fldCharType="separate"/>
      </w:r>
      <w:r>
        <w:t>19</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"_Toc144217052" </w:instrText>
      </w:r>
      <w:r>
        <w:fldChar w:fldCharType="separate"/>
      </w:r>
      <w:r>
        <w:rPr>
          <w:rStyle w:val="17"/>
        </w:rPr>
        <w:t>二、心血管系统</w:t>
      </w:r>
      <w:r>
        <w:tab/>
      </w:r>
      <w:r>
        <w:fldChar w:fldCharType="begin"/>
      </w:r>
      <w:r>
        <w:instrText xml:space="preserve"> PAGEREF _Toc144217052 \h </w:instrText>
      </w:r>
      <w:r>
        <w:fldChar w:fldCharType="separate"/>
      </w:r>
      <w:r>
        <w:t>20</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"_Toc144217053" </w:instrText>
      </w:r>
      <w:r>
        <w:fldChar w:fldCharType="separate"/>
      </w:r>
      <w:r>
        <w:rPr>
          <w:rStyle w:val="17"/>
        </w:rPr>
        <w:t>三、消化系统</w:t>
      </w:r>
      <w:r>
        <w:tab/>
      </w:r>
      <w:r>
        <w:fldChar w:fldCharType="begin"/>
      </w:r>
      <w:r>
        <w:instrText xml:space="preserve"> PAGEREF _Toc144217053 \h </w:instrText>
      </w:r>
      <w:r>
        <w:fldChar w:fldCharType="separate"/>
      </w:r>
      <w:r>
        <w:t>20</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"_Toc144217054" </w:instrText>
      </w:r>
      <w:r>
        <w:fldChar w:fldCharType="separate"/>
      </w:r>
      <w:r>
        <w:rPr>
          <w:rStyle w:val="17"/>
        </w:rPr>
        <w:t>四、女性生殖系统</w:t>
      </w:r>
      <w:r>
        <w:tab/>
      </w:r>
      <w:r>
        <w:fldChar w:fldCharType="begin"/>
      </w:r>
      <w:r>
        <w:instrText xml:space="preserve"> PAGEREF _Toc144217054 \h </w:instrText>
      </w:r>
      <w:r>
        <w:fldChar w:fldCharType="separate"/>
      </w:r>
      <w:r>
        <w:t>20</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"_Toc144217055" </w:instrText>
      </w:r>
      <w:r>
        <w:fldChar w:fldCharType="separate"/>
      </w:r>
      <w:r>
        <w:rPr>
          <w:rStyle w:val="17"/>
        </w:rPr>
        <w:t>五、血液系统</w:t>
      </w:r>
      <w:r>
        <w:tab/>
      </w:r>
      <w:r>
        <w:fldChar w:fldCharType="begin"/>
      </w:r>
      <w:r>
        <w:instrText xml:space="preserve"> PAGEREF _Toc144217055 \h </w:instrText>
      </w:r>
      <w:r>
        <w:fldChar w:fldCharType="separate"/>
      </w:r>
      <w:r>
        <w:t>21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"_Toc144217056" </w:instrText>
      </w:r>
      <w:r>
        <w:fldChar w:fldCharType="separate"/>
      </w:r>
      <w:r>
        <w:rPr>
          <w:rStyle w:val="17"/>
        </w:rPr>
        <w:t>六、内分泌系统</w:t>
      </w:r>
      <w:r>
        <w:tab/>
      </w:r>
      <w:r>
        <w:fldChar w:fldCharType="begin"/>
      </w:r>
      <w:r>
        <w:instrText xml:space="preserve"> PAGEREF _Toc144217056 \h </w:instrText>
      </w:r>
      <w:r>
        <w:fldChar w:fldCharType="separate"/>
      </w:r>
      <w:r>
        <w:t>21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"_Toc144217057" </w:instrText>
      </w:r>
      <w:r>
        <w:fldChar w:fldCharType="separate"/>
      </w:r>
      <w:r>
        <w:rPr>
          <w:rStyle w:val="17"/>
        </w:rPr>
        <w:t>七、精神、神经系统</w:t>
      </w:r>
      <w:r>
        <w:tab/>
      </w:r>
      <w:r>
        <w:fldChar w:fldCharType="begin"/>
      </w:r>
      <w:r>
        <w:instrText xml:space="preserve"> PAGEREF _Toc144217057 \h </w:instrText>
      </w:r>
      <w:r>
        <w:fldChar w:fldCharType="separate"/>
      </w:r>
      <w:r>
        <w:t>22</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"_Toc144217058" </w:instrText>
      </w:r>
      <w:r>
        <w:fldChar w:fldCharType="separate"/>
      </w:r>
      <w:r>
        <w:rPr>
          <w:rStyle w:val="17"/>
        </w:rPr>
        <w:t>八、运动系统</w:t>
      </w:r>
      <w:r>
        <w:tab/>
      </w:r>
      <w:r>
        <w:fldChar w:fldCharType="begin"/>
      </w:r>
      <w:r>
        <w:instrText xml:space="preserve"> PAGEREF _Toc144217058 \h </w:instrText>
      </w:r>
      <w:r>
        <w:fldChar w:fldCharType="separate"/>
      </w:r>
      <w:r>
        <w:t>22</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"_Toc144217059" </w:instrText>
      </w:r>
      <w:r>
        <w:fldChar w:fldCharType="separate"/>
      </w:r>
      <w:r>
        <w:rPr>
          <w:rStyle w:val="17"/>
        </w:rPr>
        <w:t>九、儿科</w:t>
      </w:r>
      <w:r>
        <w:tab/>
      </w:r>
      <w:r>
        <w:fldChar w:fldCharType="begin"/>
      </w:r>
      <w:r>
        <w:instrText xml:space="preserve"> PAGEREF _Toc144217059 \h </w:instrText>
      </w:r>
      <w:r>
        <w:fldChar w:fldCharType="separate"/>
      </w:r>
      <w:r>
        <w:t>22</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"_Toc144217060" </w:instrText>
      </w:r>
      <w:r>
        <w:fldChar w:fldCharType="separate"/>
      </w:r>
      <w:r>
        <w:rPr>
          <w:rStyle w:val="17"/>
        </w:rPr>
        <w:t>十、传染病</w:t>
      </w:r>
      <w:r>
        <w:tab/>
      </w:r>
      <w:r>
        <w:fldChar w:fldCharType="begin"/>
      </w:r>
      <w:r>
        <w:instrText xml:space="preserve"> PAGEREF _Toc144217060 \h </w:instrText>
      </w:r>
      <w:r>
        <w:fldChar w:fldCharType="separate"/>
      </w:r>
      <w:r>
        <w:t>22</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"_Toc144217061" </w:instrText>
      </w:r>
      <w:r>
        <w:fldChar w:fldCharType="separate"/>
      </w:r>
      <w:r>
        <w:rPr>
          <w:rStyle w:val="17"/>
        </w:rPr>
        <w:t>十一、性传播疾病</w:t>
      </w:r>
      <w:r>
        <w:tab/>
      </w:r>
      <w:r>
        <w:fldChar w:fldCharType="begin"/>
      </w:r>
      <w:r>
        <w:instrText xml:space="preserve"> PAGEREF _Toc144217061 \h </w:instrText>
      </w:r>
      <w:r>
        <w:fldChar w:fldCharType="separate"/>
      </w:r>
      <w:r>
        <w:t>23</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"_Toc144217062" </w:instrText>
      </w:r>
      <w:r>
        <w:fldChar w:fldCharType="separate"/>
      </w:r>
      <w:r>
        <w:rPr>
          <w:rStyle w:val="17"/>
        </w:rPr>
        <w:t>十二、其他</w:t>
      </w:r>
      <w:r>
        <w:tab/>
      </w:r>
      <w:r>
        <w:fldChar w:fldCharType="begin"/>
      </w:r>
      <w:r>
        <w:instrText xml:space="preserve"> PAGEREF _Toc144217062 \h </w:instrText>
      </w:r>
      <w:r>
        <w:fldChar w:fldCharType="separate"/>
      </w:r>
      <w:r>
        <w:t>23</w:t>
      </w:r>
      <w:r>
        <w:fldChar w:fldCharType="end"/>
      </w:r>
      <w:r>
        <w:fldChar w:fldCharType="end"/>
      </w:r>
    </w:p>
    <w:p>
      <w:pPr>
        <w:pStyle w:val="10"/>
        <w:tabs>
          <w:tab w:val="right" w:leader="dot" w:pos="8296"/>
        </w:tabs>
        <w:rPr>
          <w:rFonts w:asciiTheme="minorHAnsi" w:hAnsiTheme="minorHAnsi" w:eastAsiaTheme="minorEastAsia" w:cstheme="minorBidi"/>
          <w:szCs w:val="22"/>
        </w:rPr>
      </w:pPr>
      <w:r>
        <w:fldChar w:fldCharType="begin"/>
      </w:r>
      <w:r>
        <w:instrText xml:space="preserve"> HYPERLINK \l "_Toc144217063" </w:instrText>
      </w:r>
      <w:r>
        <w:fldChar w:fldCharType="separate"/>
      </w:r>
      <w:r>
        <w:rPr>
          <w:rStyle w:val="17"/>
        </w:rPr>
        <w:t>第四部分  公共卫生综合</w:t>
      </w:r>
      <w:r>
        <w:tab/>
      </w:r>
      <w:r>
        <w:fldChar w:fldCharType="begin"/>
      </w:r>
      <w:r>
        <w:instrText xml:space="preserve"> PAGEREF _Toc144217063 \h </w:instrText>
      </w:r>
      <w:r>
        <w:fldChar w:fldCharType="separate"/>
      </w:r>
      <w:r>
        <w:t>23</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"_Toc144217064" </w:instrText>
      </w:r>
      <w:r>
        <w:fldChar w:fldCharType="separate"/>
      </w:r>
      <w:r>
        <w:rPr>
          <w:rStyle w:val="17"/>
        </w:rPr>
        <w:t>一、流行病学</w:t>
      </w:r>
      <w:r>
        <w:tab/>
      </w:r>
      <w:r>
        <w:fldChar w:fldCharType="begin"/>
      </w:r>
      <w:r>
        <w:instrText xml:space="preserve"> PAGEREF _Toc144217064 \h </w:instrText>
      </w:r>
      <w:r>
        <w:fldChar w:fldCharType="separate"/>
      </w:r>
      <w:r>
        <w:t>23</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"_Toc144217065" </w:instrText>
      </w:r>
      <w:r>
        <w:fldChar w:fldCharType="separate"/>
      </w:r>
      <w:r>
        <w:rPr>
          <w:rStyle w:val="17"/>
        </w:rPr>
        <w:t>二、卫生统计学</w:t>
      </w:r>
      <w:r>
        <w:tab/>
      </w:r>
      <w:r>
        <w:fldChar w:fldCharType="begin"/>
      </w:r>
      <w:r>
        <w:instrText xml:space="preserve"> PAGEREF _Toc144217065 \h </w:instrText>
      </w:r>
      <w:r>
        <w:fldChar w:fldCharType="separate"/>
      </w:r>
      <w:r>
        <w:t>29</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"_Toc144217066" </w:instrText>
      </w:r>
      <w:r>
        <w:fldChar w:fldCharType="separate"/>
      </w:r>
      <w:r>
        <w:rPr>
          <w:rStyle w:val="17"/>
        </w:rPr>
        <w:t>三、环境卫生学</w:t>
      </w:r>
      <w:r>
        <w:tab/>
      </w:r>
      <w:r>
        <w:fldChar w:fldCharType="begin"/>
      </w:r>
      <w:r>
        <w:instrText xml:space="preserve"> PAGEREF _Toc144217066 \h </w:instrText>
      </w:r>
      <w:r>
        <w:fldChar w:fldCharType="separate"/>
      </w:r>
      <w:r>
        <w:t>31</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"_Toc144217067" </w:instrText>
      </w:r>
      <w:r>
        <w:fldChar w:fldCharType="separate"/>
      </w:r>
      <w:r>
        <w:rPr>
          <w:rStyle w:val="17"/>
        </w:rPr>
        <w:t>四、职业卫生与职业医学</w:t>
      </w:r>
      <w:r>
        <w:tab/>
      </w:r>
      <w:r>
        <w:fldChar w:fldCharType="begin"/>
      </w:r>
      <w:r>
        <w:instrText xml:space="preserve"> PAGEREF _Toc144217067 \h </w:instrText>
      </w:r>
      <w:r>
        <w:fldChar w:fldCharType="separate"/>
      </w:r>
      <w:r>
        <w:t>32</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"_Toc144217068" </w:instrText>
      </w:r>
      <w:r>
        <w:fldChar w:fldCharType="separate"/>
      </w:r>
      <w:r>
        <w:rPr>
          <w:rStyle w:val="17"/>
        </w:rPr>
        <w:t>五、营养与食品卫生学</w:t>
      </w:r>
      <w:r>
        <w:tab/>
      </w:r>
      <w:r>
        <w:fldChar w:fldCharType="begin"/>
      </w:r>
      <w:r>
        <w:instrText xml:space="preserve"> PAGEREF _Toc144217068 \h </w:instrText>
      </w:r>
      <w:r>
        <w:fldChar w:fldCharType="separate"/>
      </w:r>
      <w:r>
        <w:t>36</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"_Toc144217069" </w:instrText>
      </w:r>
      <w:r>
        <w:fldChar w:fldCharType="separate"/>
      </w:r>
      <w:r>
        <w:rPr>
          <w:rStyle w:val="17"/>
        </w:rPr>
        <w:t>六、妇女保健学</w:t>
      </w:r>
      <w:r>
        <w:tab/>
      </w:r>
      <w:r>
        <w:fldChar w:fldCharType="begin"/>
      </w:r>
      <w:r>
        <w:instrText xml:space="preserve"> PAGEREF _Toc144217069 \h </w:instrText>
      </w:r>
      <w:r>
        <w:fldChar w:fldCharType="separate"/>
      </w:r>
      <w:r>
        <w:t>38</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"_Toc144217070" </w:instrText>
      </w:r>
      <w:r>
        <w:fldChar w:fldCharType="separate"/>
      </w:r>
      <w:r>
        <w:rPr>
          <w:rStyle w:val="17"/>
        </w:rPr>
        <w:t>七、儿童保健学</w:t>
      </w:r>
      <w:r>
        <w:tab/>
      </w:r>
      <w:r>
        <w:fldChar w:fldCharType="begin"/>
      </w:r>
      <w:r>
        <w:instrText xml:space="preserve"> PAGEREF _Toc144217070 \h </w:instrText>
      </w:r>
      <w:r>
        <w:fldChar w:fldCharType="separate"/>
      </w:r>
      <w:r>
        <w:t>39</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"_Toc144217071" </w:instrText>
      </w:r>
      <w:r>
        <w:fldChar w:fldCharType="separate"/>
      </w:r>
      <w:r>
        <w:rPr>
          <w:rStyle w:val="17"/>
        </w:rPr>
        <w:t>八、社会医学</w:t>
      </w:r>
      <w:r>
        <w:tab/>
      </w:r>
      <w:r>
        <w:fldChar w:fldCharType="begin"/>
      </w:r>
      <w:r>
        <w:instrText xml:space="preserve"> PAGEREF _Toc144217071 \h </w:instrText>
      </w:r>
      <w:r>
        <w:fldChar w:fldCharType="separate"/>
      </w:r>
      <w:r>
        <w:t>42</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"_Toc144217072" </w:instrText>
      </w:r>
      <w:r>
        <w:fldChar w:fldCharType="separate"/>
      </w:r>
      <w:r>
        <w:rPr>
          <w:rStyle w:val="17"/>
        </w:rPr>
        <w:t>九、健康教育与健康促进</w:t>
      </w:r>
      <w:r>
        <w:tab/>
      </w:r>
      <w:r>
        <w:fldChar w:fldCharType="begin"/>
      </w:r>
      <w:r>
        <w:instrText xml:space="preserve"> PAGEREF _Toc144217072 \h </w:instrText>
      </w:r>
      <w:r>
        <w:fldChar w:fldCharType="separate"/>
      </w:r>
      <w:r>
        <w:t>43</w:t>
      </w:r>
      <w:r>
        <w:fldChar w:fldCharType="end"/>
      </w:r>
      <w:r>
        <w:fldChar w:fldCharType="end"/>
      </w:r>
    </w:p>
    <w:p>
      <w:pPr>
        <w:pStyle w:val="10"/>
        <w:tabs>
          <w:tab w:val="right" w:leader="dot" w:pos="8296"/>
        </w:tabs>
        <w:rPr>
          <w:rFonts w:asciiTheme="minorHAnsi" w:hAnsiTheme="minorHAnsi" w:eastAsiaTheme="minorEastAsia" w:cstheme="minorBidi"/>
          <w:szCs w:val="22"/>
        </w:rPr>
      </w:pPr>
      <w:r>
        <w:fldChar w:fldCharType="begin"/>
      </w:r>
      <w:r>
        <w:instrText xml:space="preserve"> HYPERLINK \l "_Toc144217073" </w:instrText>
      </w:r>
      <w:r>
        <w:fldChar w:fldCharType="separate"/>
      </w:r>
      <w:r>
        <w:rPr>
          <w:rStyle w:val="17"/>
        </w:rPr>
        <w:t>第五部分  实践综合</w:t>
      </w:r>
      <w:r>
        <w:tab/>
      </w:r>
      <w:r>
        <w:fldChar w:fldCharType="begin"/>
      </w:r>
      <w:r>
        <w:instrText xml:space="preserve"> PAGEREF _Toc144217073 \h </w:instrText>
      </w:r>
      <w:r>
        <w:fldChar w:fldCharType="separate"/>
      </w:r>
      <w:r>
        <w:t>45</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"_Toc144217074" </w:instrText>
      </w:r>
      <w:r>
        <w:fldChar w:fldCharType="separate"/>
      </w:r>
      <w:r>
        <w:rPr>
          <w:rStyle w:val="17"/>
        </w:rPr>
        <w:t>一、临床基本技能</w:t>
      </w:r>
      <w:r>
        <w:tab/>
      </w:r>
      <w:r>
        <w:fldChar w:fldCharType="begin"/>
      </w:r>
      <w:r>
        <w:instrText xml:space="preserve"> PAGEREF _Toc144217074 \h </w:instrText>
      </w:r>
      <w:r>
        <w:fldChar w:fldCharType="separate"/>
      </w:r>
      <w:r>
        <w:t>46</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"_Toc144217075" </w:instrText>
      </w:r>
      <w:r>
        <w:fldChar w:fldCharType="separate"/>
      </w:r>
      <w:r>
        <w:rPr>
          <w:rStyle w:val="17"/>
        </w:rPr>
        <w:t>二、疾病防控基本技能</w:t>
      </w:r>
      <w:r>
        <w:tab/>
      </w:r>
      <w:r>
        <w:fldChar w:fldCharType="begin"/>
      </w:r>
      <w:r>
        <w:instrText xml:space="preserve"> PAGEREF _Toc144217075 \h </w:instrText>
      </w:r>
      <w:r>
        <w:fldChar w:fldCharType="separate"/>
      </w:r>
      <w:r>
        <w:t>47</w:t>
      </w:r>
      <w:r>
        <w:fldChar w:fldCharType="end"/>
      </w:r>
      <w:r>
        <w:fldChar w:fldCharType="end"/>
      </w:r>
    </w:p>
    <w:p>
      <w:pPr>
        <w:pStyle w:val="11"/>
        <w:tabs>
          <w:tab w:val="right" w:leader="dot" w:pos="8296"/>
        </w:tabs>
        <w:rPr>
          <w:rFonts w:asciiTheme="minorHAnsi" w:hAnsiTheme="minorHAnsi" w:eastAsiaTheme="minorEastAsia" w:cstheme="minorBidi"/>
          <w:szCs w:val="22"/>
        </w:rPr>
      </w:pPr>
      <w:r>
        <w:fldChar w:fldCharType="begin"/>
      </w:r>
      <w:r>
        <w:instrText xml:space="preserve"> HYPERLINK \l "_Toc144217076" </w:instrText>
      </w:r>
      <w:r>
        <w:fldChar w:fldCharType="separate"/>
      </w:r>
      <w:r>
        <w:rPr>
          <w:rStyle w:val="17"/>
        </w:rPr>
        <w:t>三、公共卫生基本技能</w:t>
      </w:r>
      <w:r>
        <w:tab/>
      </w:r>
      <w:r>
        <w:fldChar w:fldCharType="begin"/>
      </w:r>
      <w:r>
        <w:instrText xml:space="preserve"> PAGEREF _Toc144217076 \h </w:instrText>
      </w:r>
      <w:r>
        <w:fldChar w:fldCharType="separate"/>
      </w:r>
      <w:r>
        <w:t>48</w:t>
      </w:r>
      <w:r>
        <w:fldChar w:fldCharType="end"/>
      </w:r>
      <w:r>
        <w:fldChar w:fldCharType="end"/>
      </w:r>
    </w:p>
    <w:p>
      <w:pPr>
        <w:jc w:val="center"/>
        <w:rPr>
          <w:rFonts w:asciiTheme="minorEastAsia" w:hAnsiTheme="minorEastAsia"/>
          <w:b/>
          <w:sz w:val="22"/>
        </w:rPr>
      </w:pPr>
      <w:r>
        <w:rPr>
          <w:rFonts w:asciiTheme="minorEastAsia" w:hAnsiTheme="minorEastAsia"/>
          <w:b/>
          <w:sz w:val="22"/>
        </w:rPr>
        <w:fldChar w:fldCharType="end"/>
      </w:r>
    </w:p>
    <w:p>
      <w:pPr>
        <w:widowControl/>
        <w:jc w:val="left"/>
        <w:outlineLvl w:val="0"/>
        <w:rPr>
          <w:rFonts w:asciiTheme="minorEastAsia" w:hAnsiTheme="minorEastAsia"/>
          <w:szCs w:val="21"/>
        </w:rPr>
      </w:pPr>
    </w:p>
    <w:p>
      <w:pPr>
        <w:widowControl/>
        <w:jc w:val="left"/>
        <w:rPr>
          <w:rFonts w:asciiTheme="minorEastAsia" w:hAnsiTheme="minorEastAsia"/>
          <w:szCs w:val="21"/>
        </w:rPr>
      </w:pPr>
      <w:r>
        <w:rPr>
          <w:rFonts w:asciiTheme="minorEastAsia" w:hAnsiTheme="minorEastAsia"/>
          <w:szCs w:val="21"/>
        </w:rPr>
        <w:br w:type="page"/>
      </w:r>
    </w:p>
    <w:p>
      <w:pPr>
        <w:widowControl/>
        <w:jc w:val="left"/>
        <w:outlineLvl w:val="0"/>
        <w:rPr>
          <w:sz w:val="28"/>
          <w:szCs w:val="28"/>
        </w:rPr>
        <w:sectPr>
          <w:pgSz w:w="11906" w:h="16838"/>
          <w:pgMar w:top="1440" w:right="1800" w:bottom="1440" w:left="1800" w:header="851" w:footer="992" w:gutter="0"/>
          <w:cols w:space="425" w:num="1"/>
          <w:docGrid w:type="lines" w:linePitch="312" w:charSpace="0"/>
        </w:sectPr>
      </w:pPr>
    </w:p>
    <w:p>
      <w:pPr>
        <w:widowControl/>
        <w:jc w:val="center"/>
        <w:outlineLvl w:val="0"/>
        <w:rPr>
          <w:b/>
          <w:sz w:val="28"/>
          <w:szCs w:val="28"/>
        </w:rPr>
      </w:pPr>
    </w:p>
    <w:tbl>
      <w:tblPr>
        <w:tblStyle w:val="13"/>
        <w:tblW w:w="5324"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2276"/>
        <w:gridCol w:w="4111"/>
        <w:gridCol w:w="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nil"/>
              <w:left w:val="nil"/>
              <w:bottom w:val="nil"/>
              <w:right w:val="nil"/>
            </w:tcBorders>
            <w:vAlign w:val="center"/>
          </w:tcPr>
          <w:p>
            <w:pPr>
              <w:pStyle w:val="76"/>
            </w:pPr>
            <w:bookmarkStart w:id="0" w:name="_Toc142388615"/>
            <w:bookmarkStart w:id="1" w:name="_Toc144217041"/>
            <w:r>
              <w:t>第</w:t>
            </w:r>
            <w:r>
              <w:rPr>
                <w:rFonts w:hint="eastAsia"/>
              </w:rPr>
              <w:t>一</w:t>
            </w:r>
            <w:r>
              <w:t>部分 医学人文综合</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nil"/>
              <w:left w:val="nil"/>
              <w:bottom w:val="nil"/>
              <w:right w:val="nil"/>
            </w:tcBorders>
            <w:vAlign w:val="center"/>
          </w:tcPr>
          <w:p>
            <w:pPr>
              <w:widowControl/>
              <w:adjustRightInd w:val="0"/>
              <w:snapToGrid w:val="0"/>
              <w:ind w:firstLine="420" w:firstLineChars="200"/>
              <w:jc w:val="left"/>
              <w:rPr>
                <w:b/>
                <w:bCs/>
                <w:kern w:val="0"/>
                <w:sz w:val="22"/>
                <w:szCs w:val="22"/>
              </w:rPr>
            </w:pPr>
            <w:r>
              <w:rPr>
                <w:rFonts w:hint="eastAsia"/>
                <w:color w:val="000000"/>
                <w:kern w:val="0"/>
                <w:szCs w:val="21"/>
              </w:rPr>
              <w:t>主要包括公共卫生执业助理医师工作中必须掌握的医学心理、医学伦理、卫生法律法规等医学人文学科的基本理论和行为准则，及在实际工作中的职业素养。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nil"/>
              <w:left w:val="nil"/>
              <w:right w:val="nil"/>
            </w:tcBorders>
            <w:vAlign w:val="center"/>
          </w:tcPr>
          <w:p>
            <w:pPr>
              <w:pStyle w:val="77"/>
              <w:rPr>
                <w:sz w:val="22"/>
                <w:szCs w:val="22"/>
              </w:rPr>
            </w:pPr>
            <w:bookmarkStart w:id="2" w:name="_Toc142388616"/>
            <w:bookmarkStart w:id="3" w:name="_Toc144217042"/>
            <w:r>
              <w:rPr>
                <w:rFonts w:hint="eastAsia"/>
              </w:rPr>
              <w:t>一、</w:t>
            </w:r>
            <w:r>
              <w:t>医学心理学</w:t>
            </w:r>
            <w:bookmarkEnd w:id="2"/>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38" w:type="pct"/>
            <w:vMerge w:val="restart"/>
            <w:vAlign w:val="center"/>
          </w:tcPr>
          <w:p>
            <w:pPr>
              <w:widowControl/>
              <w:adjustRightInd w:val="0"/>
              <w:snapToGrid w:val="0"/>
              <w:rPr>
                <w:kern w:val="0"/>
                <w:sz w:val="22"/>
              </w:rPr>
            </w:pPr>
            <w:r>
              <w:rPr>
                <w:kern w:val="0"/>
                <w:sz w:val="22"/>
              </w:rPr>
              <w:t>一、医学心理学总论</w:t>
            </w:r>
          </w:p>
        </w:tc>
        <w:tc>
          <w:tcPr>
            <w:tcW w:w="1254" w:type="pct"/>
            <w:vMerge w:val="restart"/>
            <w:vAlign w:val="center"/>
          </w:tcPr>
          <w:p>
            <w:pPr>
              <w:widowControl/>
              <w:adjustRightInd w:val="0"/>
              <w:snapToGrid w:val="0"/>
              <w:rPr>
                <w:kern w:val="0"/>
                <w:sz w:val="22"/>
              </w:rPr>
            </w:pPr>
            <w:r>
              <w:rPr>
                <w:kern w:val="0"/>
                <w:sz w:val="22"/>
              </w:rPr>
              <w:t>1．医学心理学的概述</w:t>
            </w:r>
          </w:p>
        </w:tc>
        <w:tc>
          <w:tcPr>
            <w:tcW w:w="2265" w:type="pct"/>
            <w:vAlign w:val="center"/>
          </w:tcPr>
          <w:p>
            <w:pPr>
              <w:widowControl/>
              <w:adjustRightInd w:val="0"/>
              <w:snapToGrid w:val="0"/>
              <w:rPr>
                <w:kern w:val="0"/>
                <w:sz w:val="22"/>
              </w:rPr>
            </w:pPr>
            <w:r>
              <w:rPr>
                <w:kern w:val="0"/>
                <w:sz w:val="22"/>
              </w:rPr>
              <w:t>（1）医学心理学的概念与性质</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（2）医学模式的转化</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2．医学心理学的任务、观点</w:t>
            </w:r>
          </w:p>
        </w:tc>
        <w:tc>
          <w:tcPr>
            <w:tcW w:w="2265" w:type="pct"/>
            <w:vAlign w:val="center"/>
          </w:tcPr>
          <w:p>
            <w:pPr>
              <w:widowControl/>
              <w:adjustRightInd w:val="0"/>
              <w:snapToGrid w:val="0"/>
              <w:rPr>
                <w:kern w:val="0"/>
                <w:sz w:val="22"/>
              </w:rPr>
            </w:pPr>
            <w:r>
              <w:rPr>
                <w:kern w:val="0"/>
                <w:sz w:val="22"/>
              </w:rPr>
              <w:t>（1）医学心理学的任务</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（2）医学心理学的基本观点</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二、</w:t>
            </w:r>
            <w:r>
              <w:rPr>
                <w:kern w:val="0"/>
                <w:szCs w:val="21"/>
              </w:rPr>
              <w:t>医生个人的心理能力</w:t>
            </w:r>
          </w:p>
        </w:tc>
        <w:tc>
          <w:tcPr>
            <w:tcW w:w="1254" w:type="pct"/>
            <w:vMerge w:val="restart"/>
            <w:vAlign w:val="center"/>
          </w:tcPr>
          <w:p>
            <w:pPr>
              <w:widowControl/>
              <w:adjustRightInd w:val="0"/>
              <w:snapToGrid w:val="0"/>
              <w:rPr>
                <w:kern w:val="0"/>
                <w:sz w:val="22"/>
              </w:rPr>
            </w:pPr>
            <w:r>
              <w:rPr>
                <w:kern w:val="0"/>
                <w:sz w:val="22"/>
              </w:rPr>
              <w:t>1．心理学概述</w:t>
            </w:r>
          </w:p>
        </w:tc>
        <w:tc>
          <w:tcPr>
            <w:tcW w:w="2265" w:type="pct"/>
            <w:vAlign w:val="center"/>
          </w:tcPr>
          <w:p>
            <w:pPr>
              <w:widowControl/>
              <w:adjustRightInd w:val="0"/>
              <w:snapToGrid w:val="0"/>
              <w:rPr>
                <w:kern w:val="0"/>
                <w:sz w:val="22"/>
              </w:rPr>
            </w:pPr>
            <w:r>
              <w:rPr>
                <w:kern w:val="0"/>
                <w:sz w:val="22"/>
              </w:rPr>
              <w:t>（1）心理学的概念</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（2）心理现象的分类</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（3）心理实质的内容</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2．认识过程</w:t>
            </w:r>
          </w:p>
        </w:tc>
        <w:tc>
          <w:tcPr>
            <w:tcW w:w="2265" w:type="pct"/>
            <w:vAlign w:val="center"/>
          </w:tcPr>
          <w:p>
            <w:pPr>
              <w:widowControl/>
              <w:adjustRightInd w:val="0"/>
              <w:snapToGrid w:val="0"/>
              <w:rPr>
                <w:kern w:val="0"/>
                <w:sz w:val="22"/>
              </w:rPr>
            </w:pPr>
            <w:r>
              <w:rPr>
                <w:kern w:val="0"/>
                <w:sz w:val="22"/>
              </w:rPr>
              <w:t>（1）感觉与知觉的概念、种类与特征</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（2）记忆的概念、种类、过程及其应用</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（3）思维的概念、特征与创造性思维的应用</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3．情绪过程</w:t>
            </w:r>
          </w:p>
        </w:tc>
        <w:tc>
          <w:tcPr>
            <w:tcW w:w="2265" w:type="pct"/>
            <w:vAlign w:val="center"/>
          </w:tcPr>
          <w:p>
            <w:pPr>
              <w:widowControl/>
              <w:adjustRightInd w:val="0"/>
              <w:snapToGrid w:val="0"/>
              <w:rPr>
                <w:kern w:val="0"/>
                <w:sz w:val="22"/>
              </w:rPr>
            </w:pPr>
            <w:r>
              <w:rPr>
                <w:kern w:val="0"/>
                <w:sz w:val="22"/>
              </w:rPr>
              <w:t>（1）情绪与情感的概念</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（2）情绪与情感的分类</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（3）情绪的作用、调节、管理及其应用</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4．意志过程</w:t>
            </w:r>
          </w:p>
        </w:tc>
        <w:tc>
          <w:tcPr>
            <w:tcW w:w="2265" w:type="pct"/>
            <w:vAlign w:val="center"/>
          </w:tcPr>
          <w:p>
            <w:pPr>
              <w:widowControl/>
              <w:adjustRightInd w:val="0"/>
              <w:snapToGrid w:val="0"/>
              <w:rPr>
                <w:kern w:val="0"/>
                <w:sz w:val="22"/>
              </w:rPr>
            </w:pPr>
            <w:r>
              <w:rPr>
                <w:kern w:val="0"/>
                <w:sz w:val="22"/>
              </w:rPr>
              <w:t>（1）意志的概念、特征与基本过程</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（2）意志的品质与应用</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5．需要与动机</w:t>
            </w:r>
          </w:p>
        </w:tc>
        <w:tc>
          <w:tcPr>
            <w:tcW w:w="2265" w:type="pct"/>
            <w:vAlign w:val="center"/>
          </w:tcPr>
          <w:p>
            <w:pPr>
              <w:widowControl/>
              <w:adjustRightInd w:val="0"/>
              <w:snapToGrid w:val="0"/>
              <w:rPr>
                <w:kern w:val="0"/>
                <w:sz w:val="22"/>
              </w:rPr>
            </w:pPr>
            <w:r>
              <w:rPr>
                <w:kern w:val="0"/>
                <w:sz w:val="22"/>
              </w:rPr>
              <w:t>（1）需要的概念、需要层次论及其应用</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（2）动机定义与分类</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（3）动机冲突的类型及其应用</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6．人格</w:t>
            </w:r>
          </w:p>
        </w:tc>
        <w:tc>
          <w:tcPr>
            <w:tcW w:w="2265" w:type="pct"/>
            <w:vAlign w:val="center"/>
          </w:tcPr>
          <w:p>
            <w:pPr>
              <w:widowControl/>
              <w:adjustRightInd w:val="0"/>
              <w:snapToGrid w:val="0"/>
              <w:rPr>
                <w:kern w:val="0"/>
                <w:sz w:val="22"/>
              </w:rPr>
            </w:pPr>
            <w:r>
              <w:rPr>
                <w:kern w:val="0"/>
                <w:sz w:val="22"/>
              </w:rPr>
              <w:t>（1）人格的定义</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（2）能力与智力的概念、分类及其应用</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（3）气质的概念、特征、类型与意义</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（4）性格的概念、特征与分型</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三、心理健康</w:t>
            </w:r>
          </w:p>
        </w:tc>
        <w:tc>
          <w:tcPr>
            <w:tcW w:w="1254" w:type="pct"/>
            <w:vMerge w:val="restart"/>
            <w:vAlign w:val="center"/>
          </w:tcPr>
          <w:p>
            <w:pPr>
              <w:widowControl/>
              <w:adjustRightInd w:val="0"/>
              <w:snapToGrid w:val="0"/>
              <w:rPr>
                <w:kern w:val="0"/>
                <w:sz w:val="22"/>
              </w:rPr>
            </w:pPr>
            <w:r>
              <w:rPr>
                <w:kern w:val="0"/>
                <w:sz w:val="22"/>
              </w:rPr>
              <w:t>1．心理健康概述</w:t>
            </w:r>
          </w:p>
        </w:tc>
        <w:tc>
          <w:tcPr>
            <w:tcW w:w="2265" w:type="pct"/>
            <w:vAlign w:val="center"/>
          </w:tcPr>
          <w:p>
            <w:pPr>
              <w:widowControl/>
              <w:adjustRightInd w:val="0"/>
              <w:snapToGrid w:val="0"/>
              <w:rPr>
                <w:kern w:val="0"/>
                <w:sz w:val="22"/>
              </w:rPr>
            </w:pPr>
            <w:r>
              <w:rPr>
                <w:kern w:val="0"/>
                <w:sz w:val="22"/>
              </w:rPr>
              <w:t>（1）心理健康的概念</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（2）心理健康的简史</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（3）心理健康的研究角度及其应用</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（4）心理健康的标准及其应用</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2．不同年龄阶段的心理健康</w:t>
            </w:r>
          </w:p>
        </w:tc>
        <w:tc>
          <w:tcPr>
            <w:tcW w:w="2265" w:type="pct"/>
            <w:vAlign w:val="center"/>
          </w:tcPr>
          <w:p>
            <w:pPr>
              <w:widowControl/>
              <w:adjustRightInd w:val="0"/>
              <w:snapToGrid w:val="0"/>
              <w:rPr>
                <w:kern w:val="0"/>
                <w:sz w:val="22"/>
              </w:rPr>
            </w:pPr>
            <w:r>
              <w:rPr>
                <w:kern w:val="0"/>
                <w:sz w:val="22"/>
              </w:rPr>
              <w:t>（1）儿童阶段心理健康常见问题与对策</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（2）青少年阶段心理健康常见问题与对策</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（3）中年人心理健康的常见问题与对策</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四、心理应激与心身疾病</w:t>
            </w:r>
          </w:p>
        </w:tc>
        <w:tc>
          <w:tcPr>
            <w:tcW w:w="1254" w:type="pct"/>
            <w:vMerge w:val="restart"/>
            <w:vAlign w:val="center"/>
          </w:tcPr>
          <w:p>
            <w:pPr>
              <w:widowControl/>
              <w:adjustRightInd w:val="0"/>
              <w:snapToGrid w:val="0"/>
              <w:rPr>
                <w:kern w:val="0"/>
                <w:sz w:val="22"/>
              </w:rPr>
            </w:pPr>
            <w:r>
              <w:rPr>
                <w:kern w:val="0"/>
                <w:sz w:val="22"/>
              </w:rPr>
              <w:t>1．心理应激</w:t>
            </w:r>
          </w:p>
        </w:tc>
        <w:tc>
          <w:tcPr>
            <w:tcW w:w="2265" w:type="pct"/>
            <w:vAlign w:val="center"/>
          </w:tcPr>
          <w:p>
            <w:pPr>
              <w:widowControl/>
              <w:adjustRightInd w:val="0"/>
              <w:snapToGrid w:val="0"/>
              <w:rPr>
                <w:kern w:val="0"/>
                <w:sz w:val="22"/>
              </w:rPr>
            </w:pPr>
            <w:r>
              <w:rPr>
                <w:kern w:val="0"/>
                <w:sz w:val="22"/>
              </w:rPr>
              <w:t>（1）心理应激的概念</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（2）应激源的概念与种类</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（3）心理应激的中介机制</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（4）心理应激反应</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（5）心理应激对健康的影响</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（6）心理应激的应对方法</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2．心身疾病</w:t>
            </w:r>
          </w:p>
        </w:tc>
        <w:tc>
          <w:tcPr>
            <w:tcW w:w="2265" w:type="pct"/>
            <w:vAlign w:val="center"/>
          </w:tcPr>
          <w:p>
            <w:pPr>
              <w:widowControl/>
              <w:adjustRightInd w:val="0"/>
              <w:snapToGrid w:val="0"/>
              <w:rPr>
                <w:kern w:val="0"/>
                <w:sz w:val="22"/>
              </w:rPr>
            </w:pPr>
            <w:r>
              <w:rPr>
                <w:kern w:val="0"/>
                <w:sz w:val="22"/>
              </w:rPr>
              <w:t>（1）心身疾病的定义、特征与范围</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（2）心身疾病的发病原因与机制</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（3）几种常见的心身疾病</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五、心理评估</w:t>
            </w:r>
          </w:p>
        </w:tc>
        <w:tc>
          <w:tcPr>
            <w:tcW w:w="1254" w:type="pct"/>
            <w:vMerge w:val="restart"/>
            <w:vAlign w:val="center"/>
          </w:tcPr>
          <w:p>
            <w:pPr>
              <w:widowControl/>
              <w:adjustRightInd w:val="0"/>
              <w:snapToGrid w:val="0"/>
              <w:rPr>
                <w:kern w:val="0"/>
                <w:sz w:val="22"/>
              </w:rPr>
            </w:pPr>
            <w:r>
              <w:rPr>
                <w:kern w:val="0"/>
                <w:sz w:val="22"/>
              </w:rPr>
              <w:t>1．心理评估概述</w:t>
            </w:r>
          </w:p>
        </w:tc>
        <w:tc>
          <w:tcPr>
            <w:tcW w:w="2265" w:type="pct"/>
            <w:vAlign w:val="center"/>
          </w:tcPr>
          <w:p>
            <w:pPr>
              <w:widowControl/>
              <w:adjustRightInd w:val="0"/>
              <w:snapToGrid w:val="0"/>
              <w:rPr>
                <w:kern w:val="0"/>
                <w:sz w:val="22"/>
              </w:rPr>
            </w:pPr>
            <w:r>
              <w:rPr>
                <w:kern w:val="0"/>
                <w:sz w:val="22"/>
              </w:rPr>
              <w:t>（1）心理评估的概念</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（2）心理评估的基本程序和常用方法</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（3）对心理评估者的要求</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2．心理测验的分类及其应用</w:t>
            </w:r>
          </w:p>
        </w:tc>
        <w:tc>
          <w:tcPr>
            <w:tcW w:w="2265" w:type="pct"/>
            <w:vAlign w:val="center"/>
          </w:tcPr>
          <w:p>
            <w:pPr>
              <w:widowControl/>
              <w:adjustRightInd w:val="0"/>
              <w:snapToGrid w:val="0"/>
              <w:rPr>
                <w:kern w:val="0"/>
                <w:sz w:val="22"/>
              </w:rPr>
            </w:pPr>
            <w:r>
              <w:rPr>
                <w:kern w:val="0"/>
                <w:sz w:val="22"/>
              </w:rPr>
              <w:t>（1）按测验的目的分类</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（2）按测验材料的性质分类</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（3）按测验方法分类</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（4）按测验的组织方式分类</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3．应用心理测验的一般原则</w:t>
            </w:r>
          </w:p>
        </w:tc>
        <w:tc>
          <w:tcPr>
            <w:tcW w:w="2265" w:type="pct"/>
            <w:vAlign w:val="center"/>
          </w:tcPr>
          <w:p>
            <w:pPr>
              <w:widowControl/>
              <w:adjustRightInd w:val="0"/>
              <w:snapToGrid w:val="0"/>
              <w:rPr>
                <w:kern w:val="0"/>
                <w:sz w:val="22"/>
              </w:rPr>
            </w:pPr>
            <w:r>
              <w:rPr>
                <w:kern w:val="0"/>
                <w:sz w:val="22"/>
              </w:rPr>
              <w:t>（1）标准化原则</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（2）保密原则</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（3）客观性原则</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4．信度、效度和常模</w:t>
            </w:r>
          </w:p>
        </w:tc>
        <w:tc>
          <w:tcPr>
            <w:tcW w:w="2265" w:type="pct"/>
            <w:vAlign w:val="center"/>
          </w:tcPr>
          <w:p>
            <w:pPr>
              <w:widowControl/>
              <w:adjustRightInd w:val="0"/>
              <w:snapToGrid w:val="0"/>
              <w:rPr>
                <w:kern w:val="0"/>
                <w:sz w:val="22"/>
              </w:rPr>
            </w:pPr>
            <w:r>
              <w:rPr>
                <w:kern w:val="0"/>
                <w:sz w:val="22"/>
              </w:rPr>
              <w:t>（1）信度</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（2）效度</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（3）常模</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5．常用的心理测验</w:t>
            </w:r>
          </w:p>
        </w:tc>
        <w:tc>
          <w:tcPr>
            <w:tcW w:w="2265" w:type="pct"/>
            <w:vAlign w:val="center"/>
          </w:tcPr>
          <w:p>
            <w:pPr>
              <w:widowControl/>
              <w:adjustRightInd w:val="0"/>
              <w:snapToGrid w:val="0"/>
              <w:rPr>
                <w:kern w:val="0"/>
                <w:sz w:val="22"/>
              </w:rPr>
            </w:pPr>
            <w:r>
              <w:rPr>
                <w:kern w:val="0"/>
                <w:sz w:val="22"/>
              </w:rPr>
              <w:t>（1）智力测验及其应用</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（2）人格测验及其应用</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6．临床评定量表</w:t>
            </w:r>
          </w:p>
        </w:tc>
        <w:tc>
          <w:tcPr>
            <w:tcW w:w="2265" w:type="pct"/>
            <w:vAlign w:val="center"/>
          </w:tcPr>
          <w:p>
            <w:pPr>
              <w:widowControl/>
              <w:adjustRightInd w:val="0"/>
              <w:snapToGrid w:val="0"/>
              <w:rPr>
                <w:kern w:val="0"/>
                <w:sz w:val="22"/>
              </w:rPr>
            </w:pPr>
            <w:r>
              <w:rPr>
                <w:kern w:val="0"/>
                <w:sz w:val="22"/>
              </w:rPr>
              <w:t>（1）评定量表概述</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（2）常用的自评量表</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六、心理治疗与心理咨询</w:t>
            </w:r>
          </w:p>
        </w:tc>
        <w:tc>
          <w:tcPr>
            <w:tcW w:w="1254" w:type="pct"/>
            <w:vMerge w:val="restart"/>
            <w:vAlign w:val="center"/>
          </w:tcPr>
          <w:p>
            <w:pPr>
              <w:widowControl/>
              <w:adjustRightInd w:val="0"/>
              <w:snapToGrid w:val="0"/>
              <w:rPr>
                <w:kern w:val="0"/>
                <w:sz w:val="22"/>
              </w:rPr>
            </w:pPr>
            <w:r>
              <w:rPr>
                <w:kern w:val="0"/>
                <w:sz w:val="22"/>
              </w:rPr>
              <w:t>1．心理治疗概述</w:t>
            </w:r>
          </w:p>
        </w:tc>
        <w:tc>
          <w:tcPr>
            <w:tcW w:w="2265" w:type="pct"/>
            <w:vAlign w:val="center"/>
          </w:tcPr>
          <w:p>
            <w:pPr>
              <w:widowControl/>
              <w:adjustRightInd w:val="0"/>
              <w:snapToGrid w:val="0"/>
              <w:rPr>
                <w:kern w:val="0"/>
                <w:sz w:val="22"/>
              </w:rPr>
            </w:pPr>
            <w:r>
              <w:rPr>
                <w:kern w:val="0"/>
                <w:sz w:val="22"/>
              </w:rPr>
              <w:t>（1）心理治疗的概念</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（2）心理治疗的发展状况</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（3）心理治疗的性质、区分与适应证</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（4）心理治疗的分类</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2．心理治疗的理论基础</w:t>
            </w:r>
          </w:p>
        </w:tc>
        <w:tc>
          <w:tcPr>
            <w:tcW w:w="2265" w:type="pct"/>
            <w:vAlign w:val="center"/>
          </w:tcPr>
          <w:p>
            <w:pPr>
              <w:widowControl/>
              <w:adjustRightInd w:val="0"/>
              <w:snapToGrid w:val="0"/>
              <w:rPr>
                <w:kern w:val="0"/>
                <w:sz w:val="22"/>
              </w:rPr>
            </w:pPr>
            <w:r>
              <w:rPr>
                <w:kern w:val="0"/>
                <w:sz w:val="22"/>
              </w:rPr>
              <w:t>（1）精神分析学派</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（2）行为主义学派</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（3）人本主义学派</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（4）认知学派</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3．心理治疗的主要方法及其应用</w:t>
            </w:r>
          </w:p>
        </w:tc>
        <w:tc>
          <w:tcPr>
            <w:tcW w:w="2265" w:type="pct"/>
            <w:vAlign w:val="center"/>
          </w:tcPr>
          <w:p>
            <w:pPr>
              <w:widowControl/>
              <w:adjustRightInd w:val="0"/>
              <w:snapToGrid w:val="0"/>
              <w:rPr>
                <w:kern w:val="0"/>
                <w:sz w:val="22"/>
              </w:rPr>
            </w:pPr>
            <w:r>
              <w:rPr>
                <w:kern w:val="0"/>
                <w:sz w:val="22"/>
              </w:rPr>
              <w:t>（1）精神分析的治疗</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（2）行为主义的治疗</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（3）人本主义疗法</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（4）认知疗法</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（5）危机干预</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（6）其他疗法</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4．心理治疗的原则</w:t>
            </w:r>
          </w:p>
        </w:tc>
        <w:tc>
          <w:tcPr>
            <w:tcW w:w="2265" w:type="pct"/>
            <w:vAlign w:val="center"/>
          </w:tcPr>
          <w:p>
            <w:pPr>
              <w:widowControl/>
              <w:adjustRightInd w:val="0"/>
              <w:snapToGrid w:val="0"/>
              <w:rPr>
                <w:kern w:val="0"/>
                <w:sz w:val="22"/>
              </w:rPr>
            </w:pPr>
            <w:r>
              <w:rPr>
                <w:kern w:val="0"/>
                <w:sz w:val="22"/>
              </w:rPr>
              <w:t>（1）治疗关系的建立原则</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（2）心理治疗的原则</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（3）心理治疗对治疗师的要求</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5．临床心理咨询</w:t>
            </w:r>
          </w:p>
        </w:tc>
        <w:tc>
          <w:tcPr>
            <w:tcW w:w="2265" w:type="pct"/>
            <w:vAlign w:val="center"/>
          </w:tcPr>
          <w:p>
            <w:pPr>
              <w:widowControl/>
              <w:adjustRightInd w:val="0"/>
              <w:snapToGrid w:val="0"/>
              <w:rPr>
                <w:kern w:val="0"/>
                <w:sz w:val="22"/>
              </w:rPr>
            </w:pPr>
            <w:r>
              <w:rPr>
                <w:kern w:val="0"/>
                <w:sz w:val="22"/>
              </w:rPr>
              <w:t>（1）临床心理咨询的意义</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（2）临床心理咨询的历史</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（3）心理咨询的方式</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（4）心理咨询的手段与内容</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七、医患关系与医患沟通</w:t>
            </w:r>
          </w:p>
        </w:tc>
        <w:tc>
          <w:tcPr>
            <w:tcW w:w="1254" w:type="pct"/>
            <w:vMerge w:val="restart"/>
            <w:vAlign w:val="center"/>
          </w:tcPr>
          <w:p>
            <w:pPr>
              <w:widowControl/>
              <w:adjustRightInd w:val="0"/>
              <w:snapToGrid w:val="0"/>
              <w:rPr>
                <w:kern w:val="0"/>
                <w:sz w:val="22"/>
              </w:rPr>
            </w:pPr>
            <w:r>
              <w:rPr>
                <w:kern w:val="0"/>
                <w:sz w:val="22"/>
              </w:rPr>
              <w:t>1．医患关系的心理方面</w:t>
            </w:r>
          </w:p>
        </w:tc>
        <w:tc>
          <w:tcPr>
            <w:tcW w:w="2265" w:type="pct"/>
            <w:vAlign w:val="center"/>
          </w:tcPr>
          <w:p>
            <w:pPr>
              <w:widowControl/>
              <w:adjustRightInd w:val="0"/>
              <w:snapToGrid w:val="0"/>
              <w:rPr>
                <w:kern w:val="0"/>
                <w:sz w:val="22"/>
              </w:rPr>
            </w:pPr>
            <w:r>
              <w:rPr>
                <w:kern w:val="0"/>
                <w:sz w:val="22"/>
              </w:rPr>
              <w:t>（1）医患关系的概念</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（2）医患关系的重要性</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2．医患交往的两种形式和两个水平</w:t>
            </w:r>
          </w:p>
        </w:tc>
        <w:tc>
          <w:tcPr>
            <w:tcW w:w="2265" w:type="pct"/>
            <w:vAlign w:val="center"/>
          </w:tcPr>
          <w:p>
            <w:pPr>
              <w:widowControl/>
              <w:adjustRightInd w:val="0"/>
              <w:snapToGrid w:val="0"/>
              <w:rPr>
                <w:kern w:val="0"/>
                <w:sz w:val="22"/>
              </w:rPr>
            </w:pPr>
            <w:r>
              <w:rPr>
                <w:kern w:val="0"/>
                <w:sz w:val="22"/>
              </w:rPr>
              <w:t>（1）医患交往的两种形式</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（2）医患交往的两个水平</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3．医患沟通的理论、技术及其应用</w:t>
            </w:r>
          </w:p>
        </w:tc>
        <w:tc>
          <w:tcPr>
            <w:tcW w:w="2265" w:type="pct"/>
            <w:vAlign w:val="center"/>
          </w:tcPr>
          <w:p>
            <w:pPr>
              <w:widowControl/>
              <w:adjustRightInd w:val="0"/>
              <w:snapToGrid w:val="0"/>
              <w:rPr>
                <w:kern w:val="0"/>
                <w:sz w:val="22"/>
              </w:rPr>
            </w:pPr>
            <w:r>
              <w:rPr>
                <w:kern w:val="0"/>
                <w:sz w:val="22"/>
              </w:rPr>
              <w:t>（1）医患沟通的基本理论</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（2）医患沟通的技术与方法</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（3）医患沟通的常见问题与处理</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4．医患关系模式的临床应用</w:t>
            </w:r>
          </w:p>
        </w:tc>
        <w:tc>
          <w:tcPr>
            <w:tcW w:w="2265" w:type="pct"/>
            <w:vAlign w:val="center"/>
          </w:tcPr>
          <w:p>
            <w:pPr>
              <w:widowControl/>
              <w:adjustRightInd w:val="0"/>
              <w:snapToGrid w:val="0"/>
              <w:rPr>
                <w:kern w:val="0"/>
                <w:sz w:val="22"/>
              </w:rPr>
            </w:pPr>
            <w:r>
              <w:rPr>
                <w:kern w:val="0"/>
                <w:sz w:val="22"/>
              </w:rPr>
              <w:t>（1）医患关系的基本模式</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tcBorders>
              <w:bottom w:val="single" w:color="auto" w:sz="4" w:space="0"/>
            </w:tcBorders>
            <w:vAlign w:val="center"/>
          </w:tcPr>
          <w:p>
            <w:pPr>
              <w:widowControl/>
              <w:adjustRightInd w:val="0"/>
              <w:snapToGrid w:val="0"/>
              <w:rPr>
                <w:kern w:val="0"/>
                <w:sz w:val="22"/>
              </w:rPr>
            </w:pPr>
          </w:p>
        </w:tc>
        <w:tc>
          <w:tcPr>
            <w:tcW w:w="1254" w:type="pct"/>
            <w:vMerge w:val="continue"/>
            <w:tcBorders>
              <w:bottom w:val="single" w:color="auto" w:sz="4" w:space="0"/>
            </w:tcBorders>
            <w:vAlign w:val="center"/>
          </w:tcPr>
          <w:p>
            <w:pPr>
              <w:widowControl/>
              <w:adjustRightInd w:val="0"/>
              <w:snapToGrid w:val="0"/>
              <w:rPr>
                <w:kern w:val="0"/>
                <w:sz w:val="22"/>
              </w:rPr>
            </w:pPr>
          </w:p>
        </w:tc>
        <w:tc>
          <w:tcPr>
            <w:tcW w:w="2265" w:type="pct"/>
            <w:tcBorders>
              <w:bottom w:val="single" w:color="auto" w:sz="4" w:space="0"/>
            </w:tcBorders>
            <w:vAlign w:val="center"/>
          </w:tcPr>
          <w:p>
            <w:pPr>
              <w:widowControl/>
              <w:adjustRightInd w:val="0"/>
              <w:snapToGrid w:val="0"/>
              <w:rPr>
                <w:kern w:val="0"/>
                <w:sz w:val="22"/>
              </w:rPr>
            </w:pPr>
            <w:r>
              <w:rPr>
                <w:kern w:val="0"/>
                <w:sz w:val="22"/>
              </w:rPr>
              <w:t>（2）医患关系的临床应用</w:t>
            </w:r>
          </w:p>
        </w:tc>
        <w:tc>
          <w:tcPr>
            <w:tcW w:w="543" w:type="pct"/>
            <w:tcBorders>
              <w:bottom w:val="single" w:color="auto" w:sz="4" w:space="0"/>
            </w:tcBorders>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restart"/>
            <w:vAlign w:val="center"/>
          </w:tcPr>
          <w:p>
            <w:pPr>
              <w:widowControl/>
              <w:adjustRightInd w:val="0"/>
              <w:snapToGrid w:val="0"/>
              <w:rPr>
                <w:kern w:val="0"/>
                <w:sz w:val="22"/>
              </w:rPr>
            </w:pPr>
            <w:r>
              <w:rPr>
                <w:kern w:val="0"/>
                <w:sz w:val="22"/>
              </w:rPr>
              <w:t>八、患者的心理问题</w:t>
            </w:r>
          </w:p>
        </w:tc>
        <w:tc>
          <w:tcPr>
            <w:tcW w:w="1254" w:type="pct"/>
            <w:vMerge w:val="restart"/>
            <w:vAlign w:val="center"/>
          </w:tcPr>
          <w:p>
            <w:pPr>
              <w:widowControl/>
              <w:adjustRightInd w:val="0"/>
              <w:snapToGrid w:val="0"/>
              <w:rPr>
                <w:kern w:val="0"/>
                <w:sz w:val="22"/>
              </w:rPr>
            </w:pPr>
            <w:r>
              <w:rPr>
                <w:kern w:val="0"/>
                <w:sz w:val="22"/>
              </w:rPr>
              <w:t>1．患者角色、求医行为及其应用</w:t>
            </w:r>
          </w:p>
        </w:tc>
        <w:tc>
          <w:tcPr>
            <w:tcW w:w="2265" w:type="pct"/>
            <w:vAlign w:val="center"/>
          </w:tcPr>
          <w:p>
            <w:pPr>
              <w:widowControl/>
              <w:adjustRightInd w:val="0"/>
              <w:snapToGrid w:val="0"/>
              <w:rPr>
                <w:kern w:val="0"/>
                <w:sz w:val="22"/>
              </w:rPr>
            </w:pPr>
            <w:r>
              <w:rPr>
                <w:kern w:val="0"/>
                <w:sz w:val="22"/>
              </w:rPr>
              <w:t>（1）患者角色的概述</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（2）患者角色的转化</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（3）求医行为</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2．患者的一般心理问题及干预</w:t>
            </w:r>
          </w:p>
        </w:tc>
        <w:tc>
          <w:tcPr>
            <w:tcW w:w="2265" w:type="pct"/>
            <w:vAlign w:val="center"/>
          </w:tcPr>
          <w:p>
            <w:pPr>
              <w:widowControl/>
              <w:adjustRightInd w:val="0"/>
              <w:snapToGrid w:val="0"/>
              <w:rPr>
                <w:kern w:val="0"/>
                <w:sz w:val="22"/>
              </w:rPr>
            </w:pPr>
            <w:r>
              <w:rPr>
                <w:kern w:val="0"/>
                <w:sz w:val="22"/>
              </w:rPr>
              <w:t>（1）患者的心理需要</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（2）患者的认知活动特征</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（3）患者的情绪与情感特征</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（4）患者的意志行为特征</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（5）患者的个性特征</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（6）病人心理问题的基本干预方法</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3．不同年龄阶段患者的心理活动特征</w:t>
            </w:r>
          </w:p>
        </w:tc>
        <w:tc>
          <w:tcPr>
            <w:tcW w:w="2265" w:type="pct"/>
            <w:vAlign w:val="center"/>
          </w:tcPr>
          <w:p>
            <w:pPr>
              <w:widowControl/>
              <w:adjustRightInd w:val="0"/>
              <w:snapToGrid w:val="0"/>
              <w:rPr>
                <w:kern w:val="0"/>
                <w:sz w:val="22"/>
              </w:rPr>
            </w:pPr>
            <w:r>
              <w:rPr>
                <w:kern w:val="0"/>
                <w:sz w:val="22"/>
              </w:rPr>
              <w:t>（1）儿童患者的心理</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（2）青少年患者的心理</w:t>
            </w:r>
          </w:p>
        </w:tc>
        <w:tc>
          <w:tcPr>
            <w:tcW w:w="543" w:type="pct"/>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（3）中年患者的心理</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（4）老年患者的心理</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restart"/>
            <w:vAlign w:val="center"/>
          </w:tcPr>
          <w:p>
            <w:pPr>
              <w:widowControl/>
              <w:adjustRightInd w:val="0"/>
              <w:snapToGrid w:val="0"/>
              <w:rPr>
                <w:kern w:val="0"/>
                <w:sz w:val="22"/>
              </w:rPr>
            </w:pPr>
            <w:r>
              <w:rPr>
                <w:kern w:val="0"/>
                <w:sz w:val="22"/>
              </w:rPr>
              <w:t>4．特殊患者的心理问题</w:t>
            </w:r>
          </w:p>
        </w:tc>
        <w:tc>
          <w:tcPr>
            <w:tcW w:w="2265" w:type="pct"/>
            <w:vAlign w:val="center"/>
          </w:tcPr>
          <w:p>
            <w:pPr>
              <w:widowControl/>
              <w:adjustRightInd w:val="0"/>
              <w:snapToGrid w:val="0"/>
              <w:rPr>
                <w:kern w:val="0"/>
                <w:sz w:val="22"/>
              </w:rPr>
            </w:pPr>
            <w:r>
              <w:rPr>
                <w:kern w:val="0"/>
                <w:sz w:val="22"/>
              </w:rPr>
              <w:t>（1）不同病期患者的心理问题及干预</w:t>
            </w:r>
          </w:p>
        </w:tc>
        <w:tc>
          <w:tcPr>
            <w:tcW w:w="543" w:type="pct"/>
            <w:vAlign w:val="center"/>
          </w:tcPr>
          <w:p>
            <w:pPr>
              <w:jc w:val="center"/>
              <w:rPr>
                <w:kern w:val="0"/>
                <w:sz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vAlign w:val="center"/>
          </w:tcPr>
          <w:p>
            <w:pPr>
              <w:widowControl/>
              <w:adjustRightInd w:val="0"/>
              <w:snapToGrid w:val="0"/>
              <w:rPr>
                <w:kern w:val="0"/>
                <w:sz w:val="22"/>
              </w:rPr>
            </w:pPr>
            <w:r>
              <w:rPr>
                <w:kern w:val="0"/>
                <w:sz w:val="22"/>
              </w:rPr>
              <w:t>（2）手术病人心理问题及干预</w:t>
            </w:r>
          </w:p>
        </w:tc>
        <w:tc>
          <w:tcPr>
            <w:tcW w:w="543" w:type="pct"/>
            <w:vAlign w:val="center"/>
          </w:tcPr>
          <w:p>
            <w:pPr>
              <w:jc w:val="center"/>
              <w:rPr>
                <w:kern w:val="0"/>
                <w:sz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Merge w:val="continue"/>
            <w:tcBorders>
              <w:bottom w:val="single" w:color="auto" w:sz="4" w:space="0"/>
            </w:tcBorders>
            <w:vAlign w:val="center"/>
          </w:tcPr>
          <w:p>
            <w:pPr>
              <w:widowControl/>
              <w:adjustRightInd w:val="0"/>
              <w:snapToGrid w:val="0"/>
              <w:rPr>
                <w:kern w:val="0"/>
                <w:sz w:val="22"/>
              </w:rPr>
            </w:pPr>
          </w:p>
        </w:tc>
        <w:tc>
          <w:tcPr>
            <w:tcW w:w="1254" w:type="pct"/>
            <w:vMerge w:val="continue"/>
            <w:tcBorders>
              <w:bottom w:val="single" w:color="auto" w:sz="4" w:space="0"/>
            </w:tcBorders>
            <w:vAlign w:val="center"/>
          </w:tcPr>
          <w:p>
            <w:pPr>
              <w:widowControl/>
              <w:adjustRightInd w:val="0"/>
              <w:snapToGrid w:val="0"/>
              <w:rPr>
                <w:kern w:val="0"/>
                <w:sz w:val="22"/>
              </w:rPr>
            </w:pPr>
          </w:p>
        </w:tc>
        <w:tc>
          <w:tcPr>
            <w:tcW w:w="2265" w:type="pct"/>
            <w:tcBorders>
              <w:bottom w:val="single" w:color="auto" w:sz="4" w:space="0"/>
            </w:tcBorders>
            <w:vAlign w:val="center"/>
          </w:tcPr>
          <w:p>
            <w:pPr>
              <w:widowControl/>
              <w:adjustRightInd w:val="0"/>
              <w:snapToGrid w:val="0"/>
              <w:rPr>
                <w:kern w:val="0"/>
                <w:sz w:val="22"/>
              </w:rPr>
            </w:pPr>
            <w:r>
              <w:rPr>
                <w:kern w:val="0"/>
                <w:sz w:val="22"/>
              </w:rPr>
              <w:t>（3）危重患者的心理问题及干预</w:t>
            </w:r>
          </w:p>
        </w:tc>
        <w:tc>
          <w:tcPr>
            <w:tcW w:w="543" w:type="pct"/>
            <w:tcBorders>
              <w:bottom w:val="single" w:color="auto" w:sz="4" w:space="0"/>
            </w:tcBorders>
            <w:vAlign w:val="center"/>
          </w:tcPr>
          <w:p>
            <w:pPr>
              <w:jc w:val="center"/>
              <w:rPr>
                <w:kern w:val="0"/>
                <w:sz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op w:val="single" w:color="auto" w:sz="4" w:space="0"/>
              <w:left w:val="nil"/>
              <w:bottom w:val="single" w:color="auto" w:sz="4" w:space="0"/>
              <w:right w:val="nil"/>
            </w:tcBorders>
            <w:vAlign w:val="center"/>
          </w:tcPr>
          <w:p>
            <w:pPr>
              <w:pStyle w:val="77"/>
            </w:pPr>
            <w:bookmarkStart w:id="4" w:name="_Toc144217043"/>
            <w:bookmarkStart w:id="5" w:name="_Toc142388617"/>
            <w:r>
              <w:rPr>
                <w:rFonts w:hint="eastAsia"/>
              </w:rPr>
              <w:t>二、</w:t>
            </w:r>
            <w:r>
              <w:t>医学伦理学</w:t>
            </w:r>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top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top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top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top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tcBorders>
            <w:shd w:val="clear" w:color="auto" w:fill="auto"/>
            <w:vAlign w:val="center"/>
          </w:tcPr>
          <w:p>
            <w:pPr>
              <w:widowControl/>
              <w:adjustRightInd w:val="0"/>
              <w:snapToGrid w:val="0"/>
              <w:rPr>
                <w:kern w:val="0"/>
                <w:sz w:val="22"/>
              </w:rPr>
            </w:pPr>
            <w:r>
              <w:rPr>
                <w:kern w:val="0"/>
                <w:sz w:val="22"/>
              </w:rPr>
              <w:t>一、伦理学与医学伦理学</w:t>
            </w:r>
          </w:p>
        </w:tc>
        <w:tc>
          <w:tcPr>
            <w:tcW w:w="1254" w:type="pct"/>
            <w:vMerge w:val="restart"/>
            <w:tcBorders>
              <w:top w:val="single" w:color="auto" w:sz="4" w:space="0"/>
            </w:tcBorders>
            <w:shd w:val="clear" w:color="auto" w:fill="auto"/>
            <w:vAlign w:val="center"/>
          </w:tcPr>
          <w:p>
            <w:pPr>
              <w:widowControl/>
              <w:adjustRightInd w:val="0"/>
              <w:snapToGrid w:val="0"/>
              <w:rPr>
                <w:kern w:val="0"/>
                <w:sz w:val="22"/>
              </w:rPr>
            </w:pPr>
            <w:r>
              <w:rPr>
                <w:kern w:val="0"/>
                <w:sz w:val="22"/>
              </w:rPr>
              <w:t>1．伦理学</w:t>
            </w:r>
          </w:p>
        </w:tc>
        <w:tc>
          <w:tcPr>
            <w:tcW w:w="2265" w:type="pct"/>
            <w:tcBorders>
              <w:top w:val="single" w:color="auto" w:sz="4" w:space="0"/>
            </w:tcBorders>
            <w:shd w:val="clear" w:color="auto" w:fill="auto"/>
            <w:vAlign w:val="center"/>
          </w:tcPr>
          <w:p>
            <w:pPr>
              <w:widowControl/>
              <w:adjustRightInd w:val="0"/>
              <w:snapToGrid w:val="0"/>
              <w:rPr>
                <w:kern w:val="0"/>
                <w:sz w:val="22"/>
              </w:rPr>
            </w:pPr>
            <w:r>
              <w:rPr>
                <w:kern w:val="0"/>
                <w:sz w:val="22"/>
              </w:rPr>
              <w:t>（1）伦理学的含义和类型</w:t>
            </w:r>
          </w:p>
        </w:tc>
        <w:tc>
          <w:tcPr>
            <w:tcW w:w="543" w:type="pct"/>
            <w:tcBorders>
              <w:top w:val="single" w:color="auto" w:sz="4" w:space="0"/>
            </w:tcBorders>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（2）伦理学的研究对象</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（3）伦理学的基本理论</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2．医学伦理学</w:t>
            </w:r>
          </w:p>
        </w:tc>
        <w:tc>
          <w:tcPr>
            <w:tcW w:w="2265" w:type="pct"/>
            <w:shd w:val="clear" w:color="auto" w:fill="auto"/>
            <w:vAlign w:val="center"/>
          </w:tcPr>
          <w:p>
            <w:pPr>
              <w:widowControl/>
              <w:adjustRightInd w:val="0"/>
              <w:snapToGrid w:val="0"/>
              <w:rPr>
                <w:kern w:val="0"/>
                <w:sz w:val="22"/>
              </w:rPr>
            </w:pPr>
            <w:r>
              <w:rPr>
                <w:kern w:val="0"/>
                <w:sz w:val="22"/>
              </w:rPr>
              <w:t>（1）医学伦理学的含义</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（2）医学伦理思想的历史发展</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（3）医学伦理学的研究对象和内容</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（4）医学伦理学的基本观点</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shd w:val="clear" w:color="auto" w:fill="auto"/>
            <w:vAlign w:val="center"/>
          </w:tcPr>
          <w:p>
            <w:pPr>
              <w:widowControl/>
              <w:adjustRightInd w:val="0"/>
              <w:snapToGrid w:val="0"/>
              <w:rPr>
                <w:kern w:val="0"/>
                <w:sz w:val="22"/>
              </w:rPr>
            </w:pPr>
            <w:r>
              <w:rPr>
                <w:kern w:val="0"/>
                <w:sz w:val="22"/>
              </w:rPr>
              <w:t>二、医学伦理的原则与规范</w:t>
            </w:r>
          </w:p>
        </w:tc>
        <w:tc>
          <w:tcPr>
            <w:tcW w:w="1254" w:type="pct"/>
            <w:vMerge w:val="restart"/>
            <w:shd w:val="clear" w:color="auto" w:fill="auto"/>
            <w:vAlign w:val="center"/>
          </w:tcPr>
          <w:p>
            <w:pPr>
              <w:widowControl/>
              <w:adjustRightInd w:val="0"/>
              <w:snapToGrid w:val="0"/>
              <w:rPr>
                <w:kern w:val="0"/>
                <w:sz w:val="22"/>
              </w:rPr>
            </w:pPr>
            <w:r>
              <w:rPr>
                <w:kern w:val="0"/>
                <w:sz w:val="22"/>
              </w:rPr>
              <w:t>1．医学伦理的指导原则</w:t>
            </w:r>
          </w:p>
        </w:tc>
        <w:tc>
          <w:tcPr>
            <w:tcW w:w="2265" w:type="pct"/>
            <w:shd w:val="clear" w:color="auto" w:fill="auto"/>
            <w:vAlign w:val="center"/>
          </w:tcPr>
          <w:p>
            <w:pPr>
              <w:widowControl/>
              <w:adjustRightInd w:val="0"/>
              <w:snapToGrid w:val="0"/>
              <w:rPr>
                <w:kern w:val="0"/>
                <w:sz w:val="22"/>
              </w:rPr>
            </w:pPr>
            <w:r>
              <w:rPr>
                <w:kern w:val="0"/>
                <w:sz w:val="22"/>
              </w:rPr>
              <w:t>（1）防病治病，救死扶伤</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（2）实行社会主义人道主义</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（3）全心全意为人民身心健康服务</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2．医学伦理的基本原则</w:t>
            </w:r>
          </w:p>
        </w:tc>
        <w:tc>
          <w:tcPr>
            <w:tcW w:w="2265" w:type="pct"/>
            <w:shd w:val="clear" w:color="auto" w:fill="auto"/>
            <w:vAlign w:val="center"/>
          </w:tcPr>
          <w:p>
            <w:pPr>
              <w:widowControl/>
              <w:adjustRightInd w:val="0"/>
              <w:snapToGrid w:val="0"/>
              <w:rPr>
                <w:kern w:val="0"/>
                <w:sz w:val="22"/>
              </w:rPr>
            </w:pPr>
            <w:r>
              <w:rPr>
                <w:kern w:val="0"/>
                <w:sz w:val="22"/>
              </w:rPr>
              <w:t>（1）尊重原则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（2）不伤害原则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（3）有利原则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（4）公正原则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3．医学伦理的基本规范</w:t>
            </w:r>
          </w:p>
        </w:tc>
        <w:tc>
          <w:tcPr>
            <w:tcW w:w="2265" w:type="pct"/>
            <w:shd w:val="clear" w:color="auto" w:fill="auto"/>
            <w:vAlign w:val="center"/>
          </w:tcPr>
          <w:p>
            <w:pPr>
              <w:widowControl/>
              <w:adjustRightInd w:val="0"/>
              <w:snapToGrid w:val="0"/>
              <w:rPr>
                <w:kern w:val="0"/>
                <w:sz w:val="22"/>
              </w:rPr>
            </w:pPr>
            <w:r>
              <w:rPr>
                <w:kern w:val="0"/>
                <w:sz w:val="22"/>
              </w:rPr>
              <w:t>（1）医学伦理基本规范的含义和本质</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（2）医学伦理基本规范的形式和内容</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（3）医务人员的行为规范</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shd w:val="clear" w:color="auto" w:fill="auto"/>
            <w:vAlign w:val="center"/>
          </w:tcPr>
          <w:p>
            <w:pPr>
              <w:widowControl/>
              <w:adjustRightInd w:val="0"/>
              <w:snapToGrid w:val="0"/>
              <w:rPr>
                <w:kern w:val="0"/>
                <w:sz w:val="22"/>
              </w:rPr>
            </w:pPr>
            <w:r>
              <w:rPr>
                <w:kern w:val="0"/>
                <w:sz w:val="22"/>
              </w:rPr>
              <w:t>三、医疗人际关系伦理</w:t>
            </w:r>
          </w:p>
        </w:tc>
        <w:tc>
          <w:tcPr>
            <w:tcW w:w="1254" w:type="pct"/>
            <w:vMerge w:val="restart"/>
            <w:shd w:val="clear" w:color="auto" w:fill="auto"/>
            <w:vAlign w:val="center"/>
          </w:tcPr>
          <w:p>
            <w:pPr>
              <w:widowControl/>
              <w:adjustRightInd w:val="0"/>
              <w:snapToGrid w:val="0"/>
              <w:rPr>
                <w:kern w:val="0"/>
                <w:sz w:val="22"/>
              </w:rPr>
            </w:pPr>
            <w:r>
              <w:rPr>
                <w:kern w:val="0"/>
                <w:sz w:val="22"/>
              </w:rPr>
              <w:t>1．医患关系伦理</w:t>
            </w:r>
          </w:p>
        </w:tc>
        <w:tc>
          <w:tcPr>
            <w:tcW w:w="2265" w:type="pct"/>
            <w:shd w:val="clear" w:color="auto" w:fill="auto"/>
            <w:vAlign w:val="center"/>
          </w:tcPr>
          <w:p>
            <w:pPr>
              <w:widowControl/>
              <w:adjustRightInd w:val="0"/>
              <w:snapToGrid w:val="0"/>
              <w:rPr>
                <w:kern w:val="0"/>
                <w:sz w:val="22"/>
              </w:rPr>
            </w:pPr>
            <w:r>
              <w:rPr>
                <w:kern w:val="0"/>
                <w:sz w:val="22"/>
              </w:rPr>
              <w:t>（1）医患关系的伦理含义和特点</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（2）医患关系的伦理属性</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（3）医患关系的伦理模式</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（4）医患双方的道德权利与道德义务</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（5）构建和谐医患关系的伦理要求</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2．医务人员之间关系伦理</w:t>
            </w:r>
          </w:p>
        </w:tc>
        <w:tc>
          <w:tcPr>
            <w:tcW w:w="2265" w:type="pct"/>
            <w:shd w:val="clear" w:color="auto" w:fill="auto"/>
            <w:vAlign w:val="center"/>
          </w:tcPr>
          <w:p>
            <w:pPr>
              <w:widowControl/>
              <w:adjustRightInd w:val="0"/>
              <w:snapToGrid w:val="0"/>
              <w:rPr>
                <w:kern w:val="0"/>
                <w:sz w:val="22"/>
              </w:rPr>
            </w:pPr>
            <w:r>
              <w:rPr>
                <w:kern w:val="0"/>
                <w:sz w:val="22"/>
              </w:rPr>
              <w:t>（1）医务人员之间关系的含义和特点</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（2）处理好医务人员之间关系的意义</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（3）协调医务人员之间关系的伦理要求</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shd w:val="clear" w:color="auto" w:fill="auto"/>
            <w:vAlign w:val="center"/>
          </w:tcPr>
          <w:p>
            <w:pPr>
              <w:widowControl/>
              <w:adjustRightInd w:val="0"/>
              <w:snapToGrid w:val="0"/>
              <w:rPr>
                <w:kern w:val="0"/>
                <w:sz w:val="22"/>
              </w:rPr>
            </w:pPr>
            <w:r>
              <w:rPr>
                <w:kern w:val="0"/>
                <w:sz w:val="22"/>
              </w:rPr>
              <w:t>四、临床诊疗伦理</w:t>
            </w:r>
          </w:p>
        </w:tc>
        <w:tc>
          <w:tcPr>
            <w:tcW w:w="1254" w:type="pct"/>
            <w:vMerge w:val="restart"/>
            <w:shd w:val="clear" w:color="auto" w:fill="auto"/>
            <w:vAlign w:val="center"/>
          </w:tcPr>
          <w:p>
            <w:pPr>
              <w:widowControl/>
              <w:adjustRightInd w:val="0"/>
              <w:snapToGrid w:val="0"/>
              <w:rPr>
                <w:kern w:val="0"/>
                <w:sz w:val="22"/>
              </w:rPr>
            </w:pPr>
            <w:r>
              <w:rPr>
                <w:kern w:val="0"/>
                <w:sz w:val="22"/>
              </w:rPr>
              <w:t>1．临床诊疗的伦理原则</w:t>
            </w:r>
          </w:p>
        </w:tc>
        <w:tc>
          <w:tcPr>
            <w:tcW w:w="2265" w:type="pct"/>
            <w:shd w:val="clear" w:color="auto" w:fill="auto"/>
            <w:vAlign w:val="center"/>
          </w:tcPr>
          <w:p>
            <w:pPr>
              <w:widowControl/>
              <w:adjustRightInd w:val="0"/>
              <w:snapToGrid w:val="0"/>
              <w:rPr>
                <w:kern w:val="0"/>
                <w:sz w:val="22"/>
              </w:rPr>
            </w:pPr>
            <w:r>
              <w:rPr>
                <w:kern w:val="0"/>
                <w:sz w:val="22"/>
              </w:rPr>
              <w:t>（1）患者至上原则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（2）最优化原则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（3）知情同意原则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（4）保密守信原则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2．临床诊断的伦理要求</w:t>
            </w:r>
          </w:p>
        </w:tc>
        <w:tc>
          <w:tcPr>
            <w:tcW w:w="2265" w:type="pct"/>
            <w:shd w:val="clear" w:color="auto" w:fill="auto"/>
            <w:vAlign w:val="center"/>
          </w:tcPr>
          <w:p>
            <w:pPr>
              <w:widowControl/>
              <w:adjustRightInd w:val="0"/>
              <w:snapToGrid w:val="0"/>
              <w:rPr>
                <w:kern w:val="0"/>
                <w:sz w:val="22"/>
              </w:rPr>
            </w:pPr>
            <w:r>
              <w:rPr>
                <w:kern w:val="0"/>
                <w:sz w:val="22"/>
              </w:rPr>
              <w:t>（1）询问病史的伦理要求</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（2）体格检查的伦理要求</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（3）辅助检查的伦理要求</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3．临床治疗的伦理要求</w:t>
            </w:r>
          </w:p>
        </w:tc>
        <w:tc>
          <w:tcPr>
            <w:tcW w:w="2265" w:type="pct"/>
            <w:shd w:val="clear" w:color="auto" w:fill="auto"/>
            <w:vAlign w:val="center"/>
          </w:tcPr>
          <w:p>
            <w:pPr>
              <w:widowControl/>
              <w:adjustRightInd w:val="0"/>
              <w:snapToGrid w:val="0"/>
              <w:rPr>
                <w:kern w:val="0"/>
                <w:sz w:val="22"/>
              </w:rPr>
            </w:pPr>
            <w:r>
              <w:rPr>
                <w:kern w:val="0"/>
                <w:sz w:val="22"/>
              </w:rPr>
              <w:t>（1）药物治疗的伦理要求</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（2）手术治疗的伦理要求</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（3）其他治疗的伦理要求</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4．临床急救的伦理要求</w:t>
            </w:r>
          </w:p>
        </w:tc>
        <w:tc>
          <w:tcPr>
            <w:tcW w:w="2265" w:type="pct"/>
            <w:shd w:val="clear" w:color="auto" w:fill="auto"/>
            <w:vAlign w:val="center"/>
          </w:tcPr>
          <w:p>
            <w:pPr>
              <w:widowControl/>
              <w:adjustRightInd w:val="0"/>
              <w:snapToGrid w:val="0"/>
              <w:rPr>
                <w:kern w:val="0"/>
                <w:sz w:val="22"/>
              </w:rPr>
            </w:pPr>
            <w:r>
              <w:rPr>
                <w:kern w:val="0"/>
                <w:sz w:val="22"/>
              </w:rPr>
              <w:t>（1）临床急救工作的特点</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（2）临床急救的伦理要求</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5．临床治疗的伦理决策</w:t>
            </w:r>
          </w:p>
        </w:tc>
        <w:tc>
          <w:tcPr>
            <w:tcW w:w="2265" w:type="pct"/>
            <w:shd w:val="clear" w:color="auto" w:fill="auto"/>
            <w:vAlign w:val="center"/>
          </w:tcPr>
          <w:p>
            <w:pPr>
              <w:widowControl/>
              <w:adjustRightInd w:val="0"/>
              <w:snapToGrid w:val="0"/>
              <w:rPr>
                <w:kern w:val="0"/>
                <w:sz w:val="22"/>
              </w:rPr>
            </w:pPr>
            <w:r>
              <w:rPr>
                <w:kern w:val="0"/>
                <w:sz w:val="22"/>
              </w:rPr>
              <w:t>（1）临床治疗的伦理难题</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（2）临床治疗的伦理决策</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shd w:val="clear" w:color="auto" w:fill="auto"/>
            <w:vAlign w:val="center"/>
          </w:tcPr>
          <w:p>
            <w:pPr>
              <w:widowControl/>
              <w:adjustRightInd w:val="0"/>
              <w:snapToGrid w:val="0"/>
              <w:rPr>
                <w:kern w:val="0"/>
                <w:sz w:val="22"/>
              </w:rPr>
            </w:pPr>
            <w:r>
              <w:rPr>
                <w:kern w:val="0"/>
                <w:sz w:val="22"/>
              </w:rPr>
              <w:t>五、安宁疗护与死亡伦理</w:t>
            </w:r>
          </w:p>
        </w:tc>
        <w:tc>
          <w:tcPr>
            <w:tcW w:w="1254" w:type="pct"/>
            <w:vMerge w:val="restart"/>
            <w:shd w:val="clear" w:color="auto" w:fill="auto"/>
            <w:vAlign w:val="center"/>
          </w:tcPr>
          <w:p>
            <w:pPr>
              <w:widowControl/>
              <w:adjustRightInd w:val="0"/>
              <w:snapToGrid w:val="0"/>
              <w:rPr>
                <w:kern w:val="0"/>
                <w:sz w:val="22"/>
              </w:rPr>
            </w:pPr>
            <w:r>
              <w:rPr>
                <w:kern w:val="0"/>
                <w:sz w:val="22"/>
              </w:rPr>
              <w:t>1．安宁疗护伦理</w:t>
            </w:r>
          </w:p>
        </w:tc>
        <w:tc>
          <w:tcPr>
            <w:tcW w:w="2265" w:type="pct"/>
            <w:shd w:val="clear" w:color="auto" w:fill="auto"/>
            <w:vAlign w:val="center"/>
          </w:tcPr>
          <w:p>
            <w:pPr>
              <w:widowControl/>
              <w:adjustRightInd w:val="0"/>
              <w:snapToGrid w:val="0"/>
              <w:rPr>
                <w:kern w:val="0"/>
                <w:sz w:val="22"/>
              </w:rPr>
            </w:pPr>
            <w:r>
              <w:rPr>
                <w:kern w:val="0"/>
                <w:sz w:val="22"/>
              </w:rPr>
              <w:t>（1）安宁疗护的含义和特点</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（2）安宁疗护的伦理意义</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（3）安宁疗护的伦理要求</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2．安乐死伦理</w:t>
            </w:r>
          </w:p>
        </w:tc>
        <w:tc>
          <w:tcPr>
            <w:tcW w:w="2265" w:type="pct"/>
            <w:shd w:val="clear" w:color="auto" w:fill="auto"/>
            <w:vAlign w:val="center"/>
          </w:tcPr>
          <w:p>
            <w:pPr>
              <w:widowControl/>
              <w:adjustRightInd w:val="0"/>
              <w:snapToGrid w:val="0"/>
              <w:rPr>
                <w:kern w:val="0"/>
                <w:sz w:val="22"/>
              </w:rPr>
            </w:pPr>
            <w:r>
              <w:rPr>
                <w:kern w:val="0"/>
                <w:sz w:val="22"/>
              </w:rPr>
              <w:t>（1）安乐死的含义和类型</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（2）安乐死的伦理争议</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（3）安乐死的历史与现状</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3．死亡伦理</w:t>
            </w:r>
          </w:p>
        </w:tc>
        <w:tc>
          <w:tcPr>
            <w:tcW w:w="2265" w:type="pct"/>
            <w:shd w:val="clear" w:color="auto" w:fill="auto"/>
            <w:vAlign w:val="center"/>
          </w:tcPr>
          <w:p>
            <w:pPr>
              <w:widowControl/>
              <w:adjustRightInd w:val="0"/>
              <w:snapToGrid w:val="0"/>
              <w:rPr>
                <w:kern w:val="0"/>
                <w:sz w:val="22"/>
              </w:rPr>
            </w:pPr>
            <w:r>
              <w:rPr>
                <w:kern w:val="0"/>
                <w:sz w:val="22"/>
              </w:rPr>
              <w:t>（1）死亡的含义</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（2）死亡标准的历史与现状</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（3）确立脑死亡标准的伦理目的和意义</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shd w:val="clear" w:color="auto" w:fill="auto"/>
            <w:vAlign w:val="center"/>
          </w:tcPr>
          <w:p>
            <w:pPr>
              <w:widowControl/>
              <w:adjustRightInd w:val="0"/>
              <w:snapToGrid w:val="0"/>
              <w:rPr>
                <w:kern w:val="0"/>
                <w:sz w:val="22"/>
              </w:rPr>
            </w:pPr>
            <w:r>
              <w:rPr>
                <w:kern w:val="0"/>
                <w:sz w:val="22"/>
              </w:rPr>
              <w:t>六、公共卫生伦理与健康伦理</w:t>
            </w:r>
          </w:p>
        </w:tc>
        <w:tc>
          <w:tcPr>
            <w:tcW w:w="1254" w:type="pct"/>
            <w:shd w:val="clear" w:color="auto" w:fill="auto"/>
            <w:vAlign w:val="center"/>
          </w:tcPr>
          <w:p>
            <w:pPr>
              <w:widowControl/>
              <w:adjustRightInd w:val="0"/>
              <w:snapToGrid w:val="0"/>
              <w:rPr>
                <w:kern w:val="0"/>
                <w:sz w:val="22"/>
              </w:rPr>
            </w:pPr>
            <w:r>
              <w:rPr>
                <w:kern w:val="0"/>
                <w:sz w:val="22"/>
              </w:rPr>
              <w:t>1．公共卫生伦理的含义</w:t>
            </w:r>
          </w:p>
        </w:tc>
        <w:tc>
          <w:tcPr>
            <w:tcW w:w="2265" w:type="pct"/>
            <w:shd w:val="clear" w:color="auto" w:fill="auto"/>
            <w:vAlign w:val="center"/>
          </w:tcPr>
          <w:p>
            <w:pPr>
              <w:widowControl/>
              <w:adjustRightInd w:val="0"/>
              <w:snapToGrid w:val="0"/>
              <w:rPr>
                <w:kern w:val="0"/>
                <w:sz w:val="22"/>
              </w:rPr>
            </w:pPr>
            <w:r>
              <w:rPr>
                <w:kern w:val="0"/>
                <w:sz w:val="22"/>
              </w:rPr>
              <w:t>公共卫生伦理的含义</w:t>
            </w:r>
          </w:p>
        </w:tc>
        <w:tc>
          <w:tcPr>
            <w:tcW w:w="543" w:type="pct"/>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2．公共卫生伦理原则</w:t>
            </w:r>
          </w:p>
        </w:tc>
        <w:tc>
          <w:tcPr>
            <w:tcW w:w="2265" w:type="pct"/>
            <w:shd w:val="clear" w:color="auto" w:fill="auto"/>
            <w:vAlign w:val="center"/>
          </w:tcPr>
          <w:p>
            <w:pPr>
              <w:widowControl/>
              <w:adjustRightInd w:val="0"/>
              <w:snapToGrid w:val="0"/>
              <w:rPr>
                <w:kern w:val="0"/>
                <w:sz w:val="22"/>
              </w:rPr>
            </w:pPr>
            <w:r>
              <w:rPr>
                <w:kern w:val="0"/>
                <w:sz w:val="22"/>
              </w:rPr>
              <w:t>（1）全社会参与原则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（2）社会公益原则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（3）社会公正原则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（4）互助协同原则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（5）信息公开原则</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3．公共卫生工作伦理要求</w:t>
            </w:r>
          </w:p>
        </w:tc>
        <w:tc>
          <w:tcPr>
            <w:tcW w:w="2265" w:type="pct"/>
            <w:shd w:val="clear" w:color="auto" w:fill="auto"/>
            <w:vAlign w:val="center"/>
          </w:tcPr>
          <w:p>
            <w:pPr>
              <w:widowControl/>
              <w:adjustRightInd w:val="0"/>
              <w:snapToGrid w:val="0"/>
              <w:rPr>
                <w:kern w:val="0"/>
                <w:sz w:val="22"/>
              </w:rPr>
            </w:pPr>
            <w:r>
              <w:rPr>
                <w:kern w:val="0"/>
                <w:sz w:val="22"/>
              </w:rPr>
              <w:t>（1）疾病防控的伦理要求</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（2）职业性损害防控的伦理要求</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（3）健康教育和健康促进的伦理要求</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（4）应对突发公共卫生事件的伦理要求</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4．健康伦理</w:t>
            </w:r>
          </w:p>
        </w:tc>
        <w:tc>
          <w:tcPr>
            <w:tcW w:w="2265" w:type="pct"/>
            <w:shd w:val="clear" w:color="auto" w:fill="auto"/>
            <w:vAlign w:val="center"/>
          </w:tcPr>
          <w:p>
            <w:pPr>
              <w:widowControl/>
              <w:adjustRightInd w:val="0"/>
              <w:snapToGrid w:val="0"/>
              <w:rPr>
                <w:kern w:val="0"/>
                <w:sz w:val="22"/>
              </w:rPr>
            </w:pPr>
            <w:r>
              <w:rPr>
                <w:kern w:val="0"/>
                <w:sz w:val="22"/>
              </w:rPr>
              <w:t>（1）健康伦理的含义</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（2）健康伦理的原则</w:t>
            </w:r>
          </w:p>
        </w:tc>
        <w:tc>
          <w:tcPr>
            <w:tcW w:w="543" w:type="pct"/>
            <w:shd w:val="clear" w:color="auto" w:fill="auto"/>
            <w:noWrap/>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（3）健康权利</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tcBorders>
              <w:bottom w:val="single" w:color="auto" w:sz="8" w:space="0"/>
            </w:tcBorders>
            <w:vAlign w:val="center"/>
          </w:tcPr>
          <w:p>
            <w:pPr>
              <w:widowControl/>
              <w:adjustRightInd w:val="0"/>
              <w:snapToGrid w:val="0"/>
              <w:rPr>
                <w:kern w:val="0"/>
                <w:sz w:val="22"/>
              </w:rPr>
            </w:pPr>
          </w:p>
        </w:tc>
        <w:tc>
          <w:tcPr>
            <w:tcW w:w="1254" w:type="pct"/>
            <w:vMerge w:val="continue"/>
            <w:tcBorders>
              <w:bottom w:val="single" w:color="auto" w:sz="8" w:space="0"/>
            </w:tcBorders>
            <w:vAlign w:val="center"/>
          </w:tcPr>
          <w:p>
            <w:pPr>
              <w:widowControl/>
              <w:adjustRightInd w:val="0"/>
              <w:snapToGrid w:val="0"/>
              <w:rPr>
                <w:kern w:val="0"/>
                <w:sz w:val="22"/>
              </w:rPr>
            </w:pPr>
          </w:p>
        </w:tc>
        <w:tc>
          <w:tcPr>
            <w:tcW w:w="2265" w:type="pct"/>
            <w:tcBorders>
              <w:bottom w:val="single" w:color="auto" w:sz="8" w:space="0"/>
            </w:tcBorders>
            <w:shd w:val="clear" w:color="auto" w:fill="auto"/>
            <w:vAlign w:val="center"/>
          </w:tcPr>
          <w:p>
            <w:pPr>
              <w:widowControl/>
              <w:adjustRightInd w:val="0"/>
              <w:snapToGrid w:val="0"/>
              <w:rPr>
                <w:kern w:val="0"/>
                <w:sz w:val="22"/>
              </w:rPr>
            </w:pPr>
            <w:r>
              <w:rPr>
                <w:kern w:val="0"/>
                <w:sz w:val="22"/>
              </w:rPr>
              <w:t>（4）健康责任</w:t>
            </w:r>
          </w:p>
        </w:tc>
        <w:tc>
          <w:tcPr>
            <w:tcW w:w="543" w:type="pct"/>
            <w:tcBorders>
              <w:bottom w:val="single" w:color="auto" w:sz="8" w:space="0"/>
            </w:tcBorders>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restart"/>
            <w:tcBorders>
              <w:top w:val="single" w:color="auto" w:sz="8" w:space="0"/>
            </w:tcBorders>
            <w:shd w:val="clear" w:color="auto" w:fill="auto"/>
            <w:vAlign w:val="center"/>
          </w:tcPr>
          <w:p>
            <w:pPr>
              <w:widowControl/>
              <w:adjustRightInd w:val="0"/>
              <w:snapToGrid w:val="0"/>
              <w:rPr>
                <w:kern w:val="0"/>
                <w:sz w:val="22"/>
              </w:rPr>
            </w:pPr>
            <w:r>
              <w:rPr>
                <w:kern w:val="0"/>
                <w:sz w:val="22"/>
              </w:rPr>
              <w:t>七、医务人员医学伦理素质的养成</w:t>
            </w:r>
          </w:p>
        </w:tc>
        <w:tc>
          <w:tcPr>
            <w:tcW w:w="1254" w:type="pct"/>
            <w:vMerge w:val="restart"/>
            <w:tcBorders>
              <w:top w:val="single" w:color="auto" w:sz="8" w:space="0"/>
            </w:tcBorders>
            <w:shd w:val="clear" w:color="auto" w:fill="auto"/>
            <w:vAlign w:val="center"/>
          </w:tcPr>
          <w:p>
            <w:pPr>
              <w:widowControl/>
              <w:adjustRightInd w:val="0"/>
              <w:snapToGrid w:val="0"/>
              <w:rPr>
                <w:kern w:val="0"/>
                <w:sz w:val="22"/>
              </w:rPr>
            </w:pPr>
            <w:r>
              <w:rPr>
                <w:kern w:val="0"/>
                <w:sz w:val="22"/>
              </w:rPr>
              <w:t>1．医学道德教育</w:t>
            </w:r>
          </w:p>
        </w:tc>
        <w:tc>
          <w:tcPr>
            <w:tcW w:w="2265" w:type="pct"/>
            <w:tcBorders>
              <w:top w:val="single" w:color="auto" w:sz="8" w:space="0"/>
            </w:tcBorders>
            <w:shd w:val="clear" w:color="auto" w:fill="auto"/>
            <w:vAlign w:val="center"/>
          </w:tcPr>
          <w:p>
            <w:pPr>
              <w:widowControl/>
              <w:adjustRightInd w:val="0"/>
              <w:snapToGrid w:val="0"/>
              <w:rPr>
                <w:kern w:val="0"/>
                <w:sz w:val="22"/>
              </w:rPr>
            </w:pPr>
            <w:r>
              <w:rPr>
                <w:kern w:val="0"/>
                <w:sz w:val="22"/>
              </w:rPr>
              <w:t>（1）医学道德教育的含义</w:t>
            </w:r>
          </w:p>
        </w:tc>
        <w:tc>
          <w:tcPr>
            <w:tcW w:w="543" w:type="pct"/>
            <w:tcBorders>
              <w:top w:val="single" w:color="auto" w:sz="8" w:space="0"/>
            </w:tcBorders>
            <w:shd w:val="clear" w:color="auto" w:fill="auto"/>
            <w:vAlign w:val="center"/>
          </w:tcPr>
          <w:p>
            <w:pPr>
              <w:widowControl/>
              <w:adjustRightInd w:val="0"/>
              <w:snapToGrid w:val="0"/>
              <w:jc w:val="center"/>
              <w:rPr>
                <w:kern w:val="0"/>
                <w:sz w:val="22"/>
              </w:rPr>
            </w:pPr>
            <w:r>
              <w:rPr>
                <w:kern w:val="0"/>
                <w:sz w:val="22"/>
              </w:rPr>
              <w:t>了解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shd w:val="clear" w:color="auto" w:fill="auto"/>
            <w:vAlign w:val="center"/>
          </w:tcPr>
          <w:p>
            <w:pPr>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（2）医学道德教育的过程</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shd w:val="clear" w:color="auto" w:fill="auto"/>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（3）医学道德教育的方法</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2．医学道德修养</w:t>
            </w:r>
          </w:p>
        </w:tc>
        <w:tc>
          <w:tcPr>
            <w:tcW w:w="2265" w:type="pct"/>
            <w:shd w:val="clear" w:color="auto" w:fill="auto"/>
            <w:vAlign w:val="center"/>
          </w:tcPr>
          <w:p>
            <w:pPr>
              <w:widowControl/>
              <w:adjustRightInd w:val="0"/>
              <w:snapToGrid w:val="0"/>
              <w:rPr>
                <w:kern w:val="0"/>
                <w:sz w:val="22"/>
              </w:rPr>
            </w:pPr>
            <w:r>
              <w:rPr>
                <w:kern w:val="0"/>
                <w:sz w:val="22"/>
              </w:rPr>
              <w:t>（1）医学道德修养的含义和意义</w:t>
            </w:r>
          </w:p>
        </w:tc>
        <w:tc>
          <w:tcPr>
            <w:tcW w:w="543" w:type="pct"/>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（2）医学道德修养的目标和境界</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tcBorders>
              <w:bottom w:val="single" w:color="auto" w:sz="4" w:space="0"/>
            </w:tcBorders>
            <w:shd w:val="clear" w:color="auto" w:fill="auto"/>
            <w:vAlign w:val="center"/>
          </w:tcPr>
          <w:p>
            <w:pPr>
              <w:widowControl/>
              <w:adjustRightInd w:val="0"/>
              <w:snapToGrid w:val="0"/>
              <w:rPr>
                <w:kern w:val="0"/>
                <w:sz w:val="22"/>
              </w:rPr>
            </w:pPr>
            <w:r>
              <w:rPr>
                <w:kern w:val="0"/>
                <w:sz w:val="22"/>
              </w:rPr>
              <w:t>（3）医学道德修养的途径和方法</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restart"/>
            <w:shd w:val="clear" w:color="auto" w:fill="auto"/>
            <w:vAlign w:val="center"/>
          </w:tcPr>
          <w:p>
            <w:pPr>
              <w:widowControl/>
              <w:adjustRightInd w:val="0"/>
              <w:snapToGrid w:val="0"/>
              <w:rPr>
                <w:kern w:val="0"/>
                <w:sz w:val="22"/>
              </w:rPr>
            </w:pPr>
            <w:r>
              <w:rPr>
                <w:kern w:val="0"/>
                <w:sz w:val="22"/>
              </w:rPr>
              <w:t>3．医学道德评价</w:t>
            </w:r>
          </w:p>
        </w:tc>
        <w:tc>
          <w:tcPr>
            <w:tcW w:w="2265" w:type="pct"/>
            <w:tcBorders>
              <w:top w:val="single" w:color="auto" w:sz="4" w:space="0"/>
            </w:tcBorders>
            <w:shd w:val="clear" w:color="auto" w:fill="auto"/>
            <w:vAlign w:val="center"/>
          </w:tcPr>
          <w:p>
            <w:pPr>
              <w:widowControl/>
              <w:adjustRightInd w:val="0"/>
              <w:snapToGrid w:val="0"/>
              <w:rPr>
                <w:kern w:val="0"/>
                <w:sz w:val="22"/>
              </w:rPr>
            </w:pPr>
            <w:r>
              <w:rPr>
                <w:kern w:val="0"/>
                <w:sz w:val="22"/>
              </w:rPr>
              <w:t>（1）医学道德评价的含义和意义</w:t>
            </w:r>
          </w:p>
        </w:tc>
        <w:tc>
          <w:tcPr>
            <w:tcW w:w="543" w:type="pct"/>
            <w:shd w:val="clear" w:color="auto" w:fill="auto"/>
            <w:vAlign w:val="center"/>
          </w:tcPr>
          <w:p>
            <w:pPr>
              <w:widowControl/>
              <w:adjustRightInd w:val="0"/>
              <w:snapToGrid w:val="0"/>
              <w:jc w:val="center"/>
              <w:rPr>
                <w:kern w:val="0"/>
                <w:sz w:val="22"/>
              </w:rPr>
            </w:pPr>
            <w:r>
              <w:rPr>
                <w:kern w:val="0"/>
                <w:sz w:val="22"/>
              </w:rPr>
              <w:t>塾烸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（2）医学道德评价的标准</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vAlign w:val="center"/>
          </w:tcPr>
          <w:p>
            <w:pPr>
              <w:widowControl/>
              <w:adjustRightInd w:val="0"/>
              <w:snapToGrid w:val="0"/>
              <w:rPr>
                <w:kern w:val="0"/>
                <w:sz w:val="22"/>
              </w:rPr>
            </w:pPr>
          </w:p>
        </w:tc>
        <w:tc>
          <w:tcPr>
            <w:tcW w:w="1254" w:type="pct"/>
            <w:vMerge w:val="continue"/>
            <w:vAlign w:val="center"/>
          </w:tcPr>
          <w:p>
            <w:pPr>
              <w:widowControl/>
              <w:adjustRightInd w:val="0"/>
              <w:snapToGrid w:val="0"/>
              <w:rPr>
                <w:kern w:val="0"/>
                <w:sz w:val="22"/>
              </w:rPr>
            </w:pPr>
          </w:p>
        </w:tc>
        <w:tc>
          <w:tcPr>
            <w:tcW w:w="2265" w:type="pct"/>
            <w:shd w:val="clear" w:color="auto" w:fill="auto"/>
            <w:vAlign w:val="center"/>
          </w:tcPr>
          <w:p>
            <w:pPr>
              <w:widowControl/>
              <w:adjustRightInd w:val="0"/>
              <w:snapToGrid w:val="0"/>
              <w:rPr>
                <w:kern w:val="0"/>
                <w:sz w:val="22"/>
              </w:rPr>
            </w:pPr>
            <w:r>
              <w:rPr>
                <w:kern w:val="0"/>
                <w:sz w:val="22"/>
              </w:rPr>
              <w:t>（3）医学道德评价的依据</w:t>
            </w:r>
          </w:p>
        </w:tc>
        <w:tc>
          <w:tcPr>
            <w:tcW w:w="543" w:type="pct"/>
            <w:shd w:val="clear" w:color="auto" w:fill="auto"/>
            <w:vAlign w:val="center"/>
          </w:tcPr>
          <w:p>
            <w:pPr>
              <w:widowControl/>
              <w:adjustRightInd w:val="0"/>
              <w:snapToGrid w:val="0"/>
              <w:jc w:val="center"/>
              <w:rPr>
                <w:kern w:val="0"/>
                <w:sz w:val="22"/>
              </w:rPr>
            </w:pPr>
            <w:r>
              <w:rPr>
                <w:kern w:val="0"/>
                <w:sz w:val="22"/>
              </w:rPr>
              <w:t>掌握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938" w:type="pct"/>
            <w:vMerge w:val="continue"/>
            <w:tcBorders>
              <w:bottom w:val="single" w:color="auto" w:sz="4" w:space="0"/>
            </w:tcBorders>
            <w:vAlign w:val="center"/>
          </w:tcPr>
          <w:p>
            <w:pPr>
              <w:widowControl/>
              <w:adjustRightInd w:val="0"/>
              <w:snapToGrid w:val="0"/>
              <w:rPr>
                <w:kern w:val="0"/>
                <w:sz w:val="22"/>
              </w:rPr>
            </w:pPr>
          </w:p>
        </w:tc>
        <w:tc>
          <w:tcPr>
            <w:tcW w:w="1254" w:type="pct"/>
            <w:vMerge w:val="continue"/>
            <w:tcBorders>
              <w:bottom w:val="single" w:color="auto" w:sz="4" w:space="0"/>
            </w:tcBorders>
            <w:vAlign w:val="center"/>
          </w:tcPr>
          <w:p>
            <w:pPr>
              <w:widowControl/>
              <w:adjustRightInd w:val="0"/>
              <w:snapToGrid w:val="0"/>
              <w:rPr>
                <w:kern w:val="0"/>
                <w:sz w:val="22"/>
              </w:rPr>
            </w:pPr>
          </w:p>
        </w:tc>
        <w:tc>
          <w:tcPr>
            <w:tcW w:w="2265" w:type="pct"/>
            <w:tcBorders>
              <w:bottom w:val="single" w:color="auto" w:sz="4" w:space="0"/>
            </w:tcBorders>
            <w:shd w:val="clear" w:color="auto" w:fill="auto"/>
            <w:vAlign w:val="center"/>
          </w:tcPr>
          <w:p>
            <w:pPr>
              <w:widowControl/>
              <w:adjustRightInd w:val="0"/>
              <w:snapToGrid w:val="0"/>
              <w:rPr>
                <w:kern w:val="0"/>
                <w:sz w:val="22"/>
              </w:rPr>
            </w:pPr>
            <w:r>
              <w:rPr>
                <w:kern w:val="0"/>
                <w:sz w:val="22"/>
              </w:rPr>
              <w:t>（4）医学道德评价的方式</w:t>
            </w:r>
          </w:p>
        </w:tc>
        <w:tc>
          <w:tcPr>
            <w:tcW w:w="543" w:type="pct"/>
            <w:tcBorders>
              <w:bottom w:val="single" w:color="auto" w:sz="4" w:space="0"/>
            </w:tcBorders>
            <w:shd w:val="clear" w:color="auto" w:fill="auto"/>
            <w:vAlign w:val="center"/>
          </w:tcPr>
          <w:p>
            <w:pPr>
              <w:widowControl/>
              <w:adjustRightInd w:val="0"/>
              <w:snapToGrid w:val="0"/>
              <w:jc w:val="center"/>
              <w:rPr>
                <w:kern w:val="0"/>
                <w:sz w:val="22"/>
              </w:rPr>
            </w:pPr>
            <w:r>
              <w:rPr>
                <w:kern w:val="0"/>
                <w:sz w:val="22"/>
              </w:rPr>
              <w:t>熟悉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trPr>
        <w:tc>
          <w:tcPr>
            <w:tcW w:w="5000" w:type="pct"/>
            <w:gridSpan w:val="4"/>
            <w:tcBorders>
              <w:top w:val="single" w:color="auto" w:sz="4" w:space="0"/>
              <w:left w:val="nil"/>
              <w:bottom w:val="single" w:color="auto" w:sz="4" w:space="0"/>
              <w:right w:val="nil"/>
            </w:tcBorders>
            <w:vAlign w:val="center"/>
          </w:tcPr>
          <w:p>
            <w:pPr>
              <w:pStyle w:val="77"/>
            </w:pPr>
            <w:bookmarkStart w:id="6" w:name="_Toc142388618"/>
            <w:bookmarkStart w:id="7" w:name="_Toc144217044"/>
            <w:r>
              <w:rPr>
                <w:rFonts w:hint="eastAsia"/>
              </w:rPr>
              <w:t>三、</w:t>
            </w:r>
            <w:r>
              <w:t>卫生法规</w:t>
            </w:r>
            <w:bookmarkEnd w:id="6"/>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top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top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top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top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一、卫生法基础知识</w:t>
            </w:r>
          </w:p>
        </w:tc>
        <w:tc>
          <w:tcPr>
            <w:tcW w:w="1254" w:type="pct"/>
            <w:vMerge w:val="restart"/>
            <w:vAlign w:val="center"/>
          </w:tcPr>
          <w:p>
            <w:pPr>
              <w:rPr>
                <w:szCs w:val="21"/>
              </w:rPr>
            </w:pPr>
            <w:r>
              <w:rPr>
                <w:szCs w:val="21"/>
              </w:rPr>
              <w:t>1．卫生法的概念、分类和作用</w:t>
            </w:r>
          </w:p>
        </w:tc>
        <w:tc>
          <w:tcPr>
            <w:tcW w:w="2265" w:type="pct"/>
          </w:tcPr>
          <w:p>
            <w:pPr>
              <w:rPr>
                <w:szCs w:val="21"/>
              </w:rPr>
            </w:pPr>
            <w:r>
              <w:rPr>
                <w:szCs w:val="21"/>
              </w:rPr>
              <w:t>（1）卫生法的概念</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（2）卫生法的分类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（3）卫生法的作用</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2．卫生法的形式、效力和解释</w:t>
            </w:r>
          </w:p>
        </w:tc>
        <w:tc>
          <w:tcPr>
            <w:tcW w:w="2265" w:type="pct"/>
          </w:tcPr>
          <w:p>
            <w:pPr>
              <w:rPr>
                <w:szCs w:val="21"/>
              </w:rPr>
            </w:pPr>
            <w:r>
              <w:rPr>
                <w:szCs w:val="21"/>
              </w:rPr>
              <w:t>（1）卫生法的形式</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（2）卫生法的效力</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（3）卫生法的解释</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3．卫生法的守法、执法和司法</w:t>
            </w:r>
          </w:p>
        </w:tc>
        <w:tc>
          <w:tcPr>
            <w:tcW w:w="2265" w:type="pct"/>
          </w:tcPr>
          <w:p>
            <w:pPr>
              <w:rPr>
                <w:szCs w:val="21"/>
              </w:rPr>
            </w:pPr>
            <w:r>
              <w:rPr>
                <w:szCs w:val="21"/>
              </w:rPr>
              <w:t>（1）卫生法的守法</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（2）卫生法的执法</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（3）卫生法的司法</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二、基本医疗卫生与健康促进法</w:t>
            </w:r>
          </w:p>
        </w:tc>
        <w:tc>
          <w:tcPr>
            <w:tcW w:w="1254" w:type="pct"/>
            <w:vMerge w:val="restart"/>
            <w:vAlign w:val="center"/>
          </w:tcPr>
          <w:p>
            <w:pPr>
              <w:rPr>
                <w:szCs w:val="21"/>
              </w:rPr>
            </w:pPr>
            <w:r>
              <w:rPr>
                <w:szCs w:val="21"/>
              </w:rPr>
              <w:t>1．概述</w:t>
            </w:r>
          </w:p>
        </w:tc>
        <w:tc>
          <w:tcPr>
            <w:tcW w:w="2265" w:type="pct"/>
          </w:tcPr>
          <w:p>
            <w:pPr>
              <w:rPr>
                <w:szCs w:val="21"/>
              </w:rPr>
            </w:pPr>
            <w:r>
              <w:rPr>
                <w:szCs w:val="21"/>
              </w:rPr>
              <w:t>（1）医疗卫生事业的原则</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（2）尊重、保护公民的健康权</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2．基本医疗卫生服务</w:t>
            </w:r>
          </w:p>
        </w:tc>
        <w:tc>
          <w:tcPr>
            <w:tcW w:w="2265" w:type="pct"/>
          </w:tcPr>
          <w:p>
            <w:pPr>
              <w:rPr>
                <w:szCs w:val="21"/>
              </w:rPr>
            </w:pPr>
            <w:r>
              <w:rPr>
                <w:szCs w:val="21"/>
              </w:rPr>
              <w:t>（1）基本医疗卫生服务的内容</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（2）基本医疗服务分级诊疗制度</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3．医疗卫生机构</w:t>
            </w:r>
          </w:p>
        </w:tc>
        <w:tc>
          <w:tcPr>
            <w:tcW w:w="2265" w:type="pct"/>
          </w:tcPr>
          <w:p>
            <w:pPr>
              <w:rPr>
                <w:szCs w:val="21"/>
              </w:rPr>
            </w:pPr>
            <w:r>
              <w:rPr>
                <w:szCs w:val="21"/>
              </w:rPr>
              <w:t>（1）医疗卫生服务体系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（2）医疗卫生机构分类管理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4．医疗卫生人员</w:t>
            </w:r>
          </w:p>
        </w:tc>
        <w:tc>
          <w:tcPr>
            <w:tcW w:w="2265" w:type="pct"/>
          </w:tcPr>
          <w:p>
            <w:pPr>
              <w:rPr>
                <w:szCs w:val="21"/>
              </w:rPr>
            </w:pPr>
            <w:r>
              <w:rPr>
                <w:szCs w:val="21"/>
              </w:rPr>
              <w:t>（1）提高专业水平和服务质量</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（2）保障医疗卫生人员执业环境</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5．健康促进</w:t>
            </w:r>
          </w:p>
        </w:tc>
        <w:tc>
          <w:tcPr>
            <w:tcW w:w="2265" w:type="pct"/>
          </w:tcPr>
          <w:p>
            <w:pPr>
              <w:rPr>
                <w:szCs w:val="21"/>
              </w:rPr>
            </w:pPr>
            <w:r>
              <w:rPr>
                <w:szCs w:val="21"/>
              </w:rPr>
              <w:t>健康知识宣传和普及</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6．法律责任</w:t>
            </w:r>
          </w:p>
        </w:tc>
        <w:tc>
          <w:tcPr>
            <w:tcW w:w="2265" w:type="pct"/>
          </w:tcPr>
          <w:p>
            <w:pPr>
              <w:rPr>
                <w:szCs w:val="21"/>
              </w:rPr>
            </w:pPr>
            <w:r>
              <w:rPr>
                <w:szCs w:val="21"/>
              </w:rPr>
              <w:t>（1）医疗卫生机构的法律责任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（2）医疗卫生人员的法律责任</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三、传染病防治法</w:t>
            </w:r>
          </w:p>
        </w:tc>
        <w:tc>
          <w:tcPr>
            <w:tcW w:w="1254" w:type="pct"/>
            <w:vMerge w:val="restart"/>
            <w:vAlign w:val="center"/>
          </w:tcPr>
          <w:p>
            <w:pPr>
              <w:rPr>
                <w:szCs w:val="21"/>
              </w:rPr>
            </w:pPr>
            <w:r>
              <w:rPr>
                <w:szCs w:val="21"/>
              </w:rPr>
              <w:t>1．概述</w:t>
            </w:r>
          </w:p>
        </w:tc>
        <w:tc>
          <w:tcPr>
            <w:tcW w:w="2265" w:type="pct"/>
          </w:tcPr>
          <w:p>
            <w:pPr>
              <w:rPr>
                <w:szCs w:val="21"/>
              </w:rPr>
            </w:pPr>
            <w:r>
              <w:rPr>
                <w:szCs w:val="21"/>
              </w:rPr>
              <w:t>（1）传染病防治方针和原则</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（2）传染病的分类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（3）甲类传染病预防控制措施的适用</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2．传染病预防</w:t>
            </w:r>
          </w:p>
        </w:tc>
        <w:tc>
          <w:tcPr>
            <w:tcW w:w="2265" w:type="pct"/>
          </w:tcPr>
          <w:p>
            <w:pPr>
              <w:rPr>
                <w:szCs w:val="21"/>
              </w:rPr>
            </w:pPr>
            <w:r>
              <w:rPr>
                <w:szCs w:val="21"/>
              </w:rPr>
              <w:t>（1）预防接种</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（2）传染病监测</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（3）传染病预警制度</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（4）传染病菌种、毒种管理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（5）疾病预防控制机构的职责</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（6）医疗机构的职责</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（7）传染病病人、病原携带者和疑似传染病病人合法权益保护</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3．疫情报告、通报和公布</w:t>
            </w:r>
          </w:p>
        </w:tc>
        <w:tc>
          <w:tcPr>
            <w:tcW w:w="2265" w:type="pct"/>
          </w:tcPr>
          <w:p>
            <w:pPr>
              <w:rPr>
                <w:szCs w:val="21"/>
              </w:rPr>
            </w:pPr>
            <w:r>
              <w:rPr>
                <w:szCs w:val="21"/>
              </w:rPr>
              <w:t>（1）疫情报告</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（2）疫情通报</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（3）疫情信息的公布</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4．疫情控制</w:t>
            </w:r>
          </w:p>
        </w:tc>
        <w:tc>
          <w:tcPr>
            <w:tcW w:w="2265" w:type="pct"/>
          </w:tcPr>
          <w:p>
            <w:pPr>
              <w:rPr>
                <w:szCs w:val="21"/>
              </w:rPr>
            </w:pPr>
            <w:r>
              <w:rPr>
                <w:szCs w:val="21"/>
              </w:rPr>
              <w:t>（1）控制措施</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（2）紧急措施</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（3）疫区封锁</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5．医疗救治</w:t>
            </w:r>
          </w:p>
        </w:tc>
        <w:tc>
          <w:tcPr>
            <w:tcW w:w="2265" w:type="pct"/>
          </w:tcPr>
          <w:p>
            <w:pPr>
              <w:rPr>
                <w:szCs w:val="21"/>
              </w:rPr>
            </w:pPr>
            <w:r>
              <w:rPr>
                <w:szCs w:val="21"/>
              </w:rPr>
              <w:t>（1）预防医院感染的要求</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（2）开展医疗救治的要求</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6．法律责任</w:t>
            </w:r>
          </w:p>
        </w:tc>
        <w:tc>
          <w:tcPr>
            <w:tcW w:w="2265" w:type="pct"/>
          </w:tcPr>
          <w:p>
            <w:pPr>
              <w:rPr>
                <w:szCs w:val="21"/>
              </w:rPr>
            </w:pPr>
            <w:r>
              <w:rPr>
                <w:szCs w:val="21"/>
              </w:rPr>
              <w:t>（1）疾病预防控制机构的法律责任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（2）医疗机构的法律责任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四、职业病防治法</w:t>
            </w:r>
          </w:p>
        </w:tc>
        <w:tc>
          <w:tcPr>
            <w:tcW w:w="1254" w:type="pct"/>
            <w:vMerge w:val="restart"/>
            <w:vAlign w:val="center"/>
          </w:tcPr>
          <w:p>
            <w:pPr>
              <w:rPr>
                <w:szCs w:val="21"/>
              </w:rPr>
            </w:pPr>
            <w:r>
              <w:rPr>
                <w:szCs w:val="21"/>
              </w:rPr>
              <w:t>1．概述</w:t>
            </w:r>
          </w:p>
        </w:tc>
        <w:tc>
          <w:tcPr>
            <w:tcW w:w="2265" w:type="pct"/>
          </w:tcPr>
          <w:p>
            <w:pPr>
              <w:rPr>
                <w:szCs w:val="21"/>
              </w:rPr>
            </w:pPr>
            <w:r>
              <w:rPr>
                <w:szCs w:val="21"/>
              </w:rPr>
              <w:t>（1）职业病的概念</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（2）职业病分类和目录的制定</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（3）国家职业卫生标准的制定</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（4）职业健康监护档案</w:t>
            </w:r>
          </w:p>
        </w:tc>
        <w:tc>
          <w:tcPr>
            <w:tcW w:w="543" w:type="pct"/>
          </w:tcPr>
          <w:p>
            <w:pPr>
              <w:jc w:val="center"/>
              <w:rPr>
                <w:szCs w:val="21"/>
              </w:rPr>
            </w:pPr>
            <w:r>
              <w:rPr>
                <w:kern w:val="0"/>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2．职业病诊断与职业病病人保障</w:t>
            </w:r>
          </w:p>
        </w:tc>
        <w:tc>
          <w:tcPr>
            <w:tcW w:w="2265" w:type="pct"/>
          </w:tcPr>
          <w:p>
            <w:pPr>
              <w:rPr>
                <w:szCs w:val="21"/>
              </w:rPr>
            </w:pPr>
            <w:r>
              <w:rPr>
                <w:szCs w:val="21"/>
              </w:rPr>
              <w:t>（1）职业病诊断机构的设立及其条件</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（2）职业病诊断应当综合分析的因素</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（3）职业病诊断、鉴定的现场调查</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（4）发现职业病病人或者疑似职业病病人的报告</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（5）职业病诊断异议的处理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（6）职业病诊断鉴定委员会的组成</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（7）职业病诊断鉴定委员会组成人员的职责</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（8）劳动者职业病诊断地点的选择</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3．监督检查</w:t>
            </w:r>
          </w:p>
        </w:tc>
        <w:tc>
          <w:tcPr>
            <w:tcW w:w="2265" w:type="pct"/>
          </w:tcPr>
          <w:p>
            <w:pPr>
              <w:rPr>
                <w:szCs w:val="21"/>
              </w:rPr>
            </w:pPr>
            <w:r>
              <w:rPr>
                <w:szCs w:val="21"/>
              </w:rPr>
              <w:t>（1）职业卫生监督制度</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（2）临时控制措施</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（3）职业卫生监督执法人员</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4．法律责任</w:t>
            </w:r>
          </w:p>
        </w:tc>
        <w:tc>
          <w:tcPr>
            <w:tcW w:w="2265" w:type="pct"/>
          </w:tcPr>
          <w:p>
            <w:pPr>
              <w:rPr>
                <w:szCs w:val="21"/>
              </w:rPr>
            </w:pPr>
            <w:r>
              <w:rPr>
                <w:szCs w:val="21"/>
              </w:rPr>
              <w:t>（1）医疗卫生机构未按规定报告职业病的法律责任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（2）擅自从事职业卫生技术服务的法律责任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（3）从事职业卫生技术服务的机构和承担职业病诊断的医疗卫生机构的法律责任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（4）职业病诊断鉴定委员会组成人员的法律责任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（5）职业卫生监督管理部门的法律责任</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五、食品安全法及其实施条例</w:t>
            </w:r>
          </w:p>
        </w:tc>
        <w:tc>
          <w:tcPr>
            <w:tcW w:w="1254" w:type="pct"/>
            <w:vAlign w:val="center"/>
          </w:tcPr>
          <w:p>
            <w:pPr>
              <w:rPr>
                <w:szCs w:val="21"/>
              </w:rPr>
            </w:pPr>
            <w:r>
              <w:rPr>
                <w:szCs w:val="21"/>
              </w:rPr>
              <w:t>1．概述</w:t>
            </w:r>
          </w:p>
        </w:tc>
        <w:tc>
          <w:tcPr>
            <w:tcW w:w="2265" w:type="pct"/>
          </w:tcPr>
          <w:p>
            <w:pPr>
              <w:rPr>
                <w:szCs w:val="21"/>
              </w:rPr>
            </w:pPr>
            <w:r>
              <w:rPr>
                <w:szCs w:val="21"/>
              </w:rPr>
              <w:t>食品及食品安全的概念</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2．食品安全风险监测和评估</w:t>
            </w:r>
          </w:p>
        </w:tc>
        <w:tc>
          <w:tcPr>
            <w:tcW w:w="2265" w:type="pct"/>
          </w:tcPr>
          <w:p>
            <w:pPr>
              <w:rPr>
                <w:szCs w:val="21"/>
              </w:rPr>
            </w:pPr>
            <w:r>
              <w:rPr>
                <w:szCs w:val="21"/>
              </w:rPr>
              <w:t>（1）食品安全风险监测计划的制定</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（2）食品安全风险监测技术机构的职责</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（3）食品安全风险评估的情形</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（4）食源性疾病信息的报告</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3．食品安全标准</w:t>
            </w:r>
          </w:p>
        </w:tc>
        <w:tc>
          <w:tcPr>
            <w:tcW w:w="2265" w:type="pct"/>
          </w:tcPr>
          <w:p>
            <w:pPr>
              <w:rPr>
                <w:szCs w:val="21"/>
              </w:rPr>
            </w:pPr>
            <w:r>
              <w:rPr>
                <w:szCs w:val="21"/>
              </w:rPr>
              <w:t>（1）标准的内容</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（2）标准的性质</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（3）国家标准的制定</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（4）国家标准审评委员会的职责</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4．食品生产经营</w:t>
            </w:r>
          </w:p>
        </w:tc>
        <w:tc>
          <w:tcPr>
            <w:tcW w:w="2265" w:type="pct"/>
          </w:tcPr>
          <w:p>
            <w:pPr>
              <w:rPr>
                <w:szCs w:val="21"/>
              </w:rPr>
            </w:pPr>
            <w:r>
              <w:rPr>
                <w:szCs w:val="21"/>
              </w:rPr>
              <w:t>有碍食品安全的疾病</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5．食品安全事故处置</w:t>
            </w:r>
          </w:p>
        </w:tc>
        <w:tc>
          <w:tcPr>
            <w:tcW w:w="2265" w:type="pct"/>
          </w:tcPr>
          <w:p>
            <w:pPr>
              <w:rPr>
                <w:szCs w:val="21"/>
              </w:rPr>
            </w:pPr>
            <w:r>
              <w:rPr>
                <w:szCs w:val="21"/>
              </w:rPr>
              <w:t>（1）报告和通报</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（2）调查处理</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6．法律责任</w:t>
            </w:r>
          </w:p>
        </w:tc>
        <w:tc>
          <w:tcPr>
            <w:tcW w:w="2265" w:type="pct"/>
          </w:tcPr>
          <w:p>
            <w:pPr>
              <w:rPr>
                <w:szCs w:val="21"/>
              </w:rPr>
            </w:pPr>
            <w:r>
              <w:rPr>
                <w:szCs w:val="21"/>
              </w:rPr>
              <w:t>（1）食品检验机构及其食品检验人员出具虚假检验报告的法律责任</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（2）风险监测、风险评估机构及其技术人员提供虚假监测、评估信息的法律责任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六、疫苗管理法</w:t>
            </w:r>
          </w:p>
        </w:tc>
        <w:tc>
          <w:tcPr>
            <w:tcW w:w="1254" w:type="pct"/>
            <w:vMerge w:val="restart"/>
            <w:vAlign w:val="center"/>
          </w:tcPr>
          <w:p>
            <w:pPr>
              <w:rPr>
                <w:szCs w:val="21"/>
              </w:rPr>
            </w:pPr>
            <w:r>
              <w:rPr>
                <w:szCs w:val="21"/>
              </w:rPr>
              <w:t>1．概述</w:t>
            </w:r>
          </w:p>
        </w:tc>
        <w:tc>
          <w:tcPr>
            <w:tcW w:w="2265" w:type="pct"/>
          </w:tcPr>
          <w:p>
            <w:pPr>
              <w:rPr>
                <w:szCs w:val="21"/>
              </w:rPr>
            </w:pPr>
            <w:r>
              <w:rPr>
                <w:szCs w:val="21"/>
              </w:rPr>
              <w:t>（1）疫苗的概念与分类</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（2）免疫规划制度</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（3）疫苗全程电子追溯制度</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2．疫苗流通</w:t>
            </w:r>
          </w:p>
        </w:tc>
        <w:tc>
          <w:tcPr>
            <w:tcW w:w="2265" w:type="pct"/>
          </w:tcPr>
          <w:p>
            <w:pPr>
              <w:rPr>
                <w:szCs w:val="21"/>
              </w:rPr>
            </w:pPr>
            <w:r>
              <w:rPr>
                <w:szCs w:val="21"/>
              </w:rPr>
              <w:t>（1）疫苗的采购和供应</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（2）疫苗的接收和购进</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3．预防接种</w:t>
            </w:r>
          </w:p>
        </w:tc>
        <w:tc>
          <w:tcPr>
            <w:tcW w:w="2265" w:type="pct"/>
          </w:tcPr>
          <w:p>
            <w:pPr>
              <w:rPr>
                <w:szCs w:val="21"/>
              </w:rPr>
            </w:pPr>
            <w:r>
              <w:rPr>
                <w:szCs w:val="21"/>
              </w:rPr>
              <w:t>（1）接种单位应当具备的条件</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（2）接种单位的管理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（3）医疗卫生人员的职责</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（4）儿童预防接种的管理</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（5）群体性预防接种的管理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（6）疾病预防控制机构的职责</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4．异常反应监测和处理</w:t>
            </w:r>
          </w:p>
        </w:tc>
        <w:tc>
          <w:tcPr>
            <w:tcW w:w="2265" w:type="pct"/>
          </w:tcPr>
          <w:p>
            <w:pPr>
              <w:rPr>
                <w:szCs w:val="21"/>
              </w:rPr>
            </w:pPr>
            <w:r>
              <w:rPr>
                <w:szCs w:val="21"/>
              </w:rPr>
              <w:t>（1）预防接种异常反应的概念</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（2）不属于预防接种异常反应的情形</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（3）预防接种异常反应的监测和处理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（4）预防接种异常反应的补偿</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5．法律责任</w:t>
            </w:r>
          </w:p>
        </w:tc>
        <w:tc>
          <w:tcPr>
            <w:tcW w:w="2265" w:type="pct"/>
          </w:tcPr>
          <w:p>
            <w:pPr>
              <w:rPr>
                <w:szCs w:val="21"/>
              </w:rPr>
            </w:pPr>
            <w:r>
              <w:rPr>
                <w:szCs w:val="21"/>
              </w:rPr>
              <w:t>（1）疫苗接种未遵守预防接种工作规范等的法律责任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（2）未按规定建立并保存疫苗接收、购进、接种、处置等记录的法律责任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（3）未按规定报告疑似预防接种异常反应等的法律责任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七、公共场所卫生管理条例及其实施细则</w:t>
            </w:r>
          </w:p>
        </w:tc>
        <w:tc>
          <w:tcPr>
            <w:tcW w:w="1254" w:type="pct"/>
            <w:vMerge w:val="restart"/>
            <w:vAlign w:val="center"/>
          </w:tcPr>
          <w:p>
            <w:pPr>
              <w:rPr>
                <w:szCs w:val="21"/>
              </w:rPr>
            </w:pPr>
            <w:r>
              <w:rPr>
                <w:szCs w:val="21"/>
              </w:rPr>
              <w:t>1．概述</w:t>
            </w:r>
          </w:p>
        </w:tc>
        <w:tc>
          <w:tcPr>
            <w:tcW w:w="2265" w:type="pct"/>
          </w:tcPr>
          <w:p>
            <w:pPr>
              <w:rPr>
                <w:szCs w:val="21"/>
              </w:rPr>
            </w:pPr>
            <w:r>
              <w:rPr>
                <w:szCs w:val="21"/>
              </w:rPr>
              <w:t>（1）公共场所卫生项目</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（2）公共场所经营者的责任</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2．卫生管理</w:t>
            </w:r>
          </w:p>
        </w:tc>
        <w:tc>
          <w:tcPr>
            <w:tcW w:w="2265" w:type="pct"/>
          </w:tcPr>
          <w:p>
            <w:pPr>
              <w:rPr>
                <w:szCs w:val="21"/>
              </w:rPr>
            </w:pPr>
            <w:r>
              <w:rPr>
                <w:szCs w:val="21"/>
              </w:rPr>
              <w:t>（1）卫生管理档案</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（2）从业人员卫生培训</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（3）从业人员健康检查</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（4）公共场所卫生要求</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（5）危害健康事故的处置与报告</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3．卫生监督</w:t>
            </w:r>
          </w:p>
        </w:tc>
        <w:tc>
          <w:tcPr>
            <w:tcW w:w="2265" w:type="pct"/>
          </w:tcPr>
          <w:p>
            <w:pPr>
              <w:rPr>
                <w:szCs w:val="21"/>
              </w:rPr>
            </w:pPr>
            <w:r>
              <w:rPr>
                <w:szCs w:val="21"/>
              </w:rPr>
              <w:t>（1）卫生许可证申请</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（2）卫生许可证审批程序</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（3）卫生许可证的变更申请和延续申请</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 xml:space="preserve">（4）卫生监督量化分级管理 </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（5）监督检查依据与方法</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（6）临时控制措施</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38" w:type="pct"/>
            <w:vMerge w:val="continue"/>
            <w:vAlign w:val="center"/>
          </w:tcPr>
          <w:p>
            <w:pPr>
              <w:rPr>
                <w:szCs w:val="21"/>
              </w:rPr>
            </w:pPr>
          </w:p>
        </w:tc>
        <w:tc>
          <w:tcPr>
            <w:tcW w:w="1254" w:type="pct"/>
            <w:vAlign w:val="center"/>
          </w:tcPr>
          <w:p>
            <w:pPr>
              <w:rPr>
                <w:szCs w:val="21"/>
              </w:rPr>
            </w:pPr>
            <w:r>
              <w:rPr>
                <w:szCs w:val="21"/>
              </w:rPr>
              <w:t>4．法律责任</w:t>
            </w:r>
          </w:p>
        </w:tc>
        <w:tc>
          <w:tcPr>
            <w:tcW w:w="2265" w:type="pct"/>
          </w:tcPr>
          <w:p>
            <w:pPr>
              <w:rPr>
                <w:szCs w:val="21"/>
              </w:rPr>
            </w:pPr>
            <w:r>
              <w:rPr>
                <w:szCs w:val="21"/>
              </w:rPr>
              <w:t>卫生行政部门及其工作人员的法律责任</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八、学校卫生工作条例</w:t>
            </w:r>
          </w:p>
        </w:tc>
        <w:tc>
          <w:tcPr>
            <w:tcW w:w="1254" w:type="pct"/>
            <w:vAlign w:val="center"/>
          </w:tcPr>
          <w:p>
            <w:pPr>
              <w:rPr>
                <w:szCs w:val="21"/>
              </w:rPr>
            </w:pPr>
            <w:r>
              <w:rPr>
                <w:szCs w:val="21"/>
              </w:rPr>
              <w:t>1．概述</w:t>
            </w:r>
          </w:p>
        </w:tc>
        <w:tc>
          <w:tcPr>
            <w:tcW w:w="2265" w:type="pct"/>
          </w:tcPr>
          <w:p>
            <w:pPr>
              <w:rPr>
                <w:szCs w:val="21"/>
              </w:rPr>
            </w:pPr>
            <w:r>
              <w:rPr>
                <w:szCs w:val="21"/>
              </w:rPr>
              <w:t>学校卫生工作的任务</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2．学校卫生工作管理</w:t>
            </w:r>
          </w:p>
        </w:tc>
        <w:tc>
          <w:tcPr>
            <w:tcW w:w="2265" w:type="pct"/>
          </w:tcPr>
          <w:p>
            <w:pPr>
              <w:rPr>
                <w:szCs w:val="21"/>
              </w:rPr>
            </w:pPr>
            <w:r>
              <w:rPr>
                <w:szCs w:val="21"/>
              </w:rPr>
              <w:t>（1）学校卫生管理机构</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（2）疾病预防控制机构的任务</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38" w:type="pct"/>
            <w:vMerge w:val="continue"/>
            <w:vAlign w:val="center"/>
          </w:tcPr>
          <w:p>
            <w:pPr>
              <w:rPr>
                <w:szCs w:val="21"/>
              </w:rPr>
            </w:pPr>
          </w:p>
        </w:tc>
        <w:tc>
          <w:tcPr>
            <w:tcW w:w="1254" w:type="pct"/>
            <w:vAlign w:val="center"/>
          </w:tcPr>
          <w:p>
            <w:pPr>
              <w:rPr>
                <w:szCs w:val="21"/>
              </w:rPr>
            </w:pPr>
            <w:r>
              <w:rPr>
                <w:szCs w:val="21"/>
              </w:rPr>
              <w:t>3．学校卫生工作监督</w:t>
            </w:r>
          </w:p>
        </w:tc>
        <w:tc>
          <w:tcPr>
            <w:tcW w:w="2265" w:type="pct"/>
          </w:tcPr>
          <w:p>
            <w:pPr>
              <w:rPr>
                <w:szCs w:val="21"/>
              </w:rPr>
            </w:pPr>
            <w:r>
              <w:rPr>
                <w:szCs w:val="21"/>
              </w:rPr>
              <w:t>卫生行政部门对学校卫生工作的监督职责</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九、突发公共卫生事件应急条例</w:t>
            </w:r>
          </w:p>
        </w:tc>
        <w:tc>
          <w:tcPr>
            <w:tcW w:w="1254" w:type="pct"/>
            <w:vAlign w:val="center"/>
          </w:tcPr>
          <w:p>
            <w:pPr>
              <w:rPr>
                <w:szCs w:val="21"/>
              </w:rPr>
            </w:pPr>
            <w:r>
              <w:rPr>
                <w:szCs w:val="21"/>
              </w:rPr>
              <w:t>1．概述</w:t>
            </w:r>
          </w:p>
        </w:tc>
        <w:tc>
          <w:tcPr>
            <w:tcW w:w="2265" w:type="pct"/>
          </w:tcPr>
          <w:p>
            <w:pPr>
              <w:rPr>
                <w:szCs w:val="21"/>
              </w:rPr>
            </w:pPr>
            <w:r>
              <w:rPr>
                <w:szCs w:val="21"/>
              </w:rPr>
              <w:t>突发公共卫生事件的概念</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2．报告与信息发布</w:t>
            </w:r>
          </w:p>
        </w:tc>
        <w:tc>
          <w:tcPr>
            <w:tcW w:w="2265" w:type="pct"/>
          </w:tcPr>
          <w:p>
            <w:pPr>
              <w:rPr>
                <w:szCs w:val="21"/>
              </w:rPr>
            </w:pPr>
            <w:r>
              <w:rPr>
                <w:szCs w:val="21"/>
              </w:rPr>
              <w:t>（1）医疗卫生机构的职责</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（2）信息发布</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3．法律责任</w:t>
            </w:r>
          </w:p>
        </w:tc>
        <w:tc>
          <w:tcPr>
            <w:tcW w:w="2265" w:type="pct"/>
          </w:tcPr>
          <w:p>
            <w:pPr>
              <w:rPr>
                <w:szCs w:val="21"/>
              </w:rPr>
            </w:pPr>
            <w:r>
              <w:rPr>
                <w:szCs w:val="21"/>
              </w:rPr>
              <w:t>医疗卫生机构的法律责任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十、医疗废物管理条例</w:t>
            </w:r>
          </w:p>
        </w:tc>
        <w:tc>
          <w:tcPr>
            <w:tcW w:w="1254" w:type="pct"/>
            <w:vAlign w:val="center"/>
          </w:tcPr>
          <w:p>
            <w:pPr>
              <w:rPr>
                <w:szCs w:val="21"/>
              </w:rPr>
            </w:pPr>
            <w:r>
              <w:rPr>
                <w:szCs w:val="21"/>
              </w:rPr>
              <w:t>1．概述</w:t>
            </w:r>
          </w:p>
        </w:tc>
        <w:tc>
          <w:tcPr>
            <w:tcW w:w="2265" w:type="pct"/>
          </w:tcPr>
          <w:p>
            <w:pPr>
              <w:rPr>
                <w:szCs w:val="21"/>
              </w:rPr>
            </w:pPr>
            <w:r>
              <w:rPr>
                <w:szCs w:val="21"/>
              </w:rPr>
              <w:t>医疗废物的概念</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2．医疗卫生机构对医疗废物的管理</w:t>
            </w:r>
          </w:p>
        </w:tc>
        <w:tc>
          <w:tcPr>
            <w:tcW w:w="2265" w:type="pct"/>
          </w:tcPr>
          <w:p>
            <w:pPr>
              <w:rPr>
                <w:szCs w:val="21"/>
              </w:rPr>
            </w:pPr>
            <w:r>
              <w:rPr>
                <w:szCs w:val="21"/>
              </w:rPr>
              <w:t>（1）收集</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（2）暂时贮存</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（3）运送</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（4）处置</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3．法律责任</w:t>
            </w:r>
          </w:p>
        </w:tc>
        <w:tc>
          <w:tcPr>
            <w:tcW w:w="2265" w:type="pct"/>
          </w:tcPr>
          <w:p>
            <w:pPr>
              <w:rPr>
                <w:szCs w:val="21"/>
              </w:rPr>
            </w:pPr>
            <w:r>
              <w:rPr>
                <w:szCs w:val="21"/>
              </w:rPr>
              <w:t>医疗卫生机构的法律责任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十一、病原微生物实验室生物安全管理条例</w:t>
            </w:r>
          </w:p>
        </w:tc>
        <w:tc>
          <w:tcPr>
            <w:tcW w:w="1254" w:type="pct"/>
            <w:vMerge w:val="restart"/>
            <w:vAlign w:val="center"/>
          </w:tcPr>
          <w:p>
            <w:pPr>
              <w:rPr>
                <w:szCs w:val="21"/>
              </w:rPr>
            </w:pPr>
            <w:r>
              <w:rPr>
                <w:szCs w:val="21"/>
              </w:rPr>
              <w:t>1．概述</w:t>
            </w:r>
          </w:p>
        </w:tc>
        <w:tc>
          <w:tcPr>
            <w:tcW w:w="2265" w:type="pct"/>
          </w:tcPr>
          <w:p>
            <w:pPr>
              <w:rPr>
                <w:szCs w:val="21"/>
              </w:rPr>
            </w:pPr>
            <w:r>
              <w:rPr>
                <w:szCs w:val="21"/>
              </w:rPr>
              <w:t>（1）病原微生物与实验活动的概念</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（2）实验室设立单位及其主管部门的职责</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2．病原微生物的分类与管理</w:t>
            </w:r>
          </w:p>
        </w:tc>
        <w:tc>
          <w:tcPr>
            <w:tcW w:w="2265" w:type="pct"/>
          </w:tcPr>
          <w:p>
            <w:pPr>
              <w:rPr>
                <w:szCs w:val="21"/>
              </w:rPr>
            </w:pPr>
            <w:r>
              <w:rPr>
                <w:szCs w:val="21"/>
              </w:rPr>
              <w:t>（1）病原微生物的分类</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（2）采集病原微生物样本应当具备的条件</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3．实验室的设立与管理</w:t>
            </w:r>
          </w:p>
        </w:tc>
        <w:tc>
          <w:tcPr>
            <w:tcW w:w="2265" w:type="pct"/>
          </w:tcPr>
          <w:p>
            <w:pPr>
              <w:rPr>
                <w:szCs w:val="21"/>
              </w:rPr>
            </w:pPr>
            <w:r>
              <w:rPr>
                <w:szCs w:val="21"/>
              </w:rPr>
              <w:t>（1）工作人员培训</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（2）工作人员健康监测</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938" w:type="pct"/>
            <w:vMerge w:val="continue"/>
            <w:vAlign w:val="center"/>
          </w:tcPr>
          <w:p>
            <w:pPr>
              <w:rPr>
                <w:szCs w:val="21"/>
              </w:rPr>
            </w:pPr>
          </w:p>
        </w:tc>
        <w:tc>
          <w:tcPr>
            <w:tcW w:w="1254" w:type="pct"/>
            <w:vAlign w:val="center"/>
          </w:tcPr>
          <w:p>
            <w:pPr>
              <w:rPr>
                <w:szCs w:val="21"/>
              </w:rPr>
            </w:pPr>
            <w:r>
              <w:rPr>
                <w:szCs w:val="21"/>
              </w:rPr>
              <w:t>4．法律责任</w:t>
            </w:r>
          </w:p>
        </w:tc>
        <w:tc>
          <w:tcPr>
            <w:tcW w:w="2265" w:type="pct"/>
          </w:tcPr>
          <w:p>
            <w:pPr>
              <w:rPr>
                <w:szCs w:val="21"/>
              </w:rPr>
            </w:pPr>
            <w:r>
              <w:rPr>
                <w:szCs w:val="21"/>
              </w:rPr>
              <w:t>未按规定报告实验室事故的法律责任</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十二、艾滋病防治条例</w:t>
            </w:r>
          </w:p>
        </w:tc>
        <w:tc>
          <w:tcPr>
            <w:tcW w:w="1254" w:type="pct"/>
            <w:vMerge w:val="restart"/>
            <w:vAlign w:val="center"/>
          </w:tcPr>
          <w:p>
            <w:pPr>
              <w:rPr>
                <w:szCs w:val="21"/>
              </w:rPr>
            </w:pPr>
            <w:r>
              <w:rPr>
                <w:szCs w:val="21"/>
              </w:rPr>
              <w:t>1．概述</w:t>
            </w:r>
          </w:p>
        </w:tc>
        <w:tc>
          <w:tcPr>
            <w:tcW w:w="2265" w:type="pct"/>
          </w:tcPr>
          <w:p>
            <w:pPr>
              <w:rPr>
                <w:szCs w:val="21"/>
              </w:rPr>
            </w:pPr>
            <w:r>
              <w:rPr>
                <w:szCs w:val="21"/>
              </w:rPr>
              <w:t>（1）艾滋病防治原则</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（2）不歧视规定</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2．预防与控制</w:t>
            </w:r>
          </w:p>
        </w:tc>
        <w:tc>
          <w:tcPr>
            <w:tcW w:w="2265" w:type="pct"/>
          </w:tcPr>
          <w:p>
            <w:pPr>
              <w:rPr>
                <w:szCs w:val="21"/>
              </w:rPr>
            </w:pPr>
            <w:r>
              <w:rPr>
                <w:szCs w:val="21"/>
              </w:rPr>
              <w:t>（1）艾滋病监测</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（2）自愿咨询和自愿检测制度</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（3）艾滋病患者的义务及其隐私权保护</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（4）采集或使用人体血液、血浆、组织的管理</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3．治疗与救助</w:t>
            </w:r>
          </w:p>
        </w:tc>
        <w:tc>
          <w:tcPr>
            <w:tcW w:w="2265" w:type="pct"/>
          </w:tcPr>
          <w:p>
            <w:pPr>
              <w:rPr>
                <w:szCs w:val="21"/>
              </w:rPr>
            </w:pPr>
            <w:r>
              <w:rPr>
                <w:szCs w:val="21"/>
              </w:rPr>
              <w:t>医疗卫生机构的责任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4．法律责任</w:t>
            </w:r>
          </w:p>
        </w:tc>
        <w:tc>
          <w:tcPr>
            <w:tcW w:w="2265" w:type="pct"/>
          </w:tcPr>
          <w:p>
            <w:pPr>
              <w:rPr>
                <w:szCs w:val="21"/>
              </w:rPr>
            </w:pPr>
            <w:r>
              <w:rPr>
                <w:szCs w:val="21"/>
              </w:rPr>
              <w:t>医疗卫生机构的法律责任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十三、生活饮用水卫生监督管理办法</w:t>
            </w:r>
          </w:p>
        </w:tc>
        <w:tc>
          <w:tcPr>
            <w:tcW w:w="1254" w:type="pct"/>
            <w:vAlign w:val="center"/>
          </w:tcPr>
          <w:p>
            <w:pPr>
              <w:rPr>
                <w:szCs w:val="21"/>
              </w:rPr>
            </w:pPr>
            <w:r>
              <w:rPr>
                <w:szCs w:val="21"/>
              </w:rPr>
              <w:t>1．概述</w:t>
            </w:r>
          </w:p>
        </w:tc>
        <w:tc>
          <w:tcPr>
            <w:tcW w:w="2265" w:type="pct"/>
          </w:tcPr>
          <w:p>
            <w:pPr>
              <w:rPr>
                <w:szCs w:val="21"/>
              </w:rPr>
            </w:pPr>
            <w:r>
              <w:rPr>
                <w:szCs w:val="21"/>
              </w:rPr>
              <w:t>饮用水卫生监督管理部门</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2．卫生管理</w:t>
            </w:r>
          </w:p>
        </w:tc>
        <w:tc>
          <w:tcPr>
            <w:tcW w:w="2265" w:type="pct"/>
          </w:tcPr>
          <w:p>
            <w:pPr>
              <w:rPr>
                <w:szCs w:val="21"/>
              </w:rPr>
            </w:pPr>
            <w:r>
              <w:rPr>
                <w:szCs w:val="21"/>
              </w:rPr>
              <w:t>（1）饮用水水质卫生要求</w:t>
            </w:r>
          </w:p>
        </w:tc>
        <w:tc>
          <w:tcPr>
            <w:tcW w:w="543" w:type="pct"/>
            <w:vAlign w:val="center"/>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（2）饮用水供水单位的管理</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3．卫生监督</w:t>
            </w:r>
          </w:p>
        </w:tc>
        <w:tc>
          <w:tcPr>
            <w:tcW w:w="2265" w:type="pct"/>
          </w:tcPr>
          <w:p>
            <w:pPr>
              <w:rPr>
                <w:szCs w:val="21"/>
              </w:rPr>
            </w:pPr>
            <w:r>
              <w:rPr>
                <w:szCs w:val="21"/>
              </w:rPr>
              <w:t>（1）饮用水卫生监督监测</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（2）饮用水污染及处理</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4．法律责任</w:t>
            </w:r>
          </w:p>
        </w:tc>
        <w:tc>
          <w:tcPr>
            <w:tcW w:w="2265" w:type="pct"/>
          </w:tcPr>
          <w:p>
            <w:pPr>
              <w:rPr>
                <w:szCs w:val="21"/>
              </w:rPr>
            </w:pPr>
            <w:r>
              <w:rPr>
                <w:szCs w:val="21"/>
              </w:rPr>
              <w:t>供水单位的法律责任</w:t>
            </w:r>
          </w:p>
        </w:tc>
        <w:tc>
          <w:tcPr>
            <w:tcW w:w="543" w:type="pct"/>
            <w:vAlign w:val="center"/>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十四、母婴保健法及其实施办法</w:t>
            </w:r>
          </w:p>
        </w:tc>
        <w:tc>
          <w:tcPr>
            <w:tcW w:w="1254" w:type="pct"/>
            <w:vMerge w:val="restart"/>
            <w:vAlign w:val="center"/>
          </w:tcPr>
          <w:p>
            <w:pPr>
              <w:rPr>
                <w:szCs w:val="21"/>
              </w:rPr>
            </w:pPr>
            <w:r>
              <w:rPr>
                <w:szCs w:val="21"/>
              </w:rPr>
              <w:t>1．概述</w:t>
            </w:r>
          </w:p>
        </w:tc>
        <w:tc>
          <w:tcPr>
            <w:tcW w:w="2265" w:type="pct"/>
          </w:tcPr>
          <w:p>
            <w:pPr>
              <w:rPr>
                <w:szCs w:val="21"/>
              </w:rPr>
            </w:pPr>
            <w:r>
              <w:rPr>
                <w:szCs w:val="21"/>
              </w:rPr>
              <w:t>（1）母婴保健工作方针</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（2）母婴保健技术服务事项</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2．婚前保健</w:t>
            </w:r>
          </w:p>
        </w:tc>
        <w:tc>
          <w:tcPr>
            <w:tcW w:w="2265" w:type="pct"/>
          </w:tcPr>
          <w:p>
            <w:pPr>
              <w:rPr>
                <w:szCs w:val="21"/>
              </w:rPr>
            </w:pPr>
            <w:r>
              <w:rPr>
                <w:szCs w:val="21"/>
              </w:rPr>
              <w:t>（1）婚前保健的内容</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（2）婚前医学检查意见</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3．孕产期保健</w:t>
            </w:r>
          </w:p>
        </w:tc>
        <w:tc>
          <w:tcPr>
            <w:tcW w:w="2265" w:type="pct"/>
          </w:tcPr>
          <w:p>
            <w:pPr>
              <w:rPr>
                <w:szCs w:val="21"/>
              </w:rPr>
            </w:pPr>
            <w:r>
              <w:rPr>
                <w:szCs w:val="21"/>
              </w:rPr>
              <w:t>（1）孕产期保健的内容</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（2）医学指导和医学检查</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（3）产前诊断</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（4）终止妊娠意见</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（5）新生儿出生医学证明</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（6）孕产妇、婴儿死亡以及新生儿出生缺陷报告</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4．行政管理</w:t>
            </w:r>
          </w:p>
        </w:tc>
        <w:tc>
          <w:tcPr>
            <w:tcW w:w="2265" w:type="pct"/>
          </w:tcPr>
          <w:p>
            <w:pPr>
              <w:rPr>
                <w:szCs w:val="21"/>
              </w:rPr>
            </w:pPr>
            <w:r>
              <w:rPr>
                <w:szCs w:val="21"/>
              </w:rPr>
              <w:t>（1）医疗保健机构许可</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（2）母婴保健工作人员许可</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5．法律责任</w:t>
            </w:r>
          </w:p>
        </w:tc>
        <w:tc>
          <w:tcPr>
            <w:tcW w:w="2265" w:type="pct"/>
          </w:tcPr>
          <w:p>
            <w:pPr>
              <w:rPr>
                <w:szCs w:val="21"/>
              </w:rPr>
            </w:pPr>
            <w:r>
              <w:rPr>
                <w:szCs w:val="21"/>
              </w:rPr>
              <w:t>（1）擅自从事母婴保健技术的法律责任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（2）出具虚假医学证明文件的法律责任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（3）违反规定进行胎儿性别鉴定的法律责任</w:t>
            </w:r>
          </w:p>
        </w:tc>
        <w:tc>
          <w:tcPr>
            <w:tcW w:w="543" w:type="pct"/>
            <w:vAlign w:val="center"/>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十五、医师法</w:t>
            </w:r>
          </w:p>
        </w:tc>
        <w:tc>
          <w:tcPr>
            <w:tcW w:w="1254" w:type="pct"/>
            <w:vMerge w:val="restart"/>
            <w:vAlign w:val="center"/>
          </w:tcPr>
          <w:p>
            <w:pPr>
              <w:rPr>
                <w:szCs w:val="21"/>
              </w:rPr>
            </w:pPr>
            <w:r>
              <w:rPr>
                <w:szCs w:val="21"/>
              </w:rPr>
              <w:t>1．概述</w:t>
            </w:r>
          </w:p>
        </w:tc>
        <w:tc>
          <w:tcPr>
            <w:tcW w:w="2265" w:type="pct"/>
          </w:tcPr>
          <w:p>
            <w:pPr>
              <w:rPr>
                <w:szCs w:val="21"/>
              </w:rPr>
            </w:pPr>
            <w:r>
              <w:rPr>
                <w:szCs w:val="21"/>
              </w:rPr>
              <w:t>（1）医师的基本要求及职责</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（2）全社会应当尊重医师</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2．考试和注册</w:t>
            </w:r>
          </w:p>
        </w:tc>
        <w:tc>
          <w:tcPr>
            <w:tcW w:w="2265" w:type="pct"/>
          </w:tcPr>
          <w:p>
            <w:pPr>
              <w:rPr>
                <w:szCs w:val="21"/>
              </w:rPr>
            </w:pPr>
            <w:r>
              <w:rPr>
                <w:szCs w:val="21"/>
              </w:rPr>
              <w:t>（1）医师资格考试</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（2）医师执业注册</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（3）不予注册、注销注册、变更注册、重新注册的情形</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（4）医师个体行医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3．执业规则</w:t>
            </w:r>
          </w:p>
        </w:tc>
        <w:tc>
          <w:tcPr>
            <w:tcW w:w="2265" w:type="pct"/>
          </w:tcPr>
          <w:p>
            <w:pPr>
              <w:rPr>
                <w:szCs w:val="21"/>
              </w:rPr>
            </w:pPr>
            <w:r>
              <w:rPr>
                <w:szCs w:val="21"/>
              </w:rPr>
              <w:t>（1）医师在执业活动中的权利和义务</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（2）医师执业规定</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（3）执业医师的特别规定</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（4）执业助理医师的特别规定</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（5）医学生和医学毕业生参与临床诊疗活动的要求</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4．培训和考核</w:t>
            </w:r>
          </w:p>
        </w:tc>
        <w:tc>
          <w:tcPr>
            <w:tcW w:w="2265" w:type="pct"/>
          </w:tcPr>
          <w:p>
            <w:pPr>
              <w:rPr>
                <w:szCs w:val="21"/>
              </w:rPr>
            </w:pPr>
            <w:r>
              <w:rPr>
                <w:szCs w:val="21"/>
              </w:rPr>
              <w:t>（1）培训</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（2）考核</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5．保障措施</w:t>
            </w:r>
          </w:p>
        </w:tc>
        <w:tc>
          <w:tcPr>
            <w:tcW w:w="2265" w:type="pct"/>
          </w:tcPr>
          <w:p>
            <w:pPr>
              <w:rPr>
                <w:szCs w:val="21"/>
              </w:rPr>
            </w:pPr>
            <w:r>
              <w:rPr>
                <w:szCs w:val="21"/>
              </w:rPr>
              <w:t>（1）职称晋升要求</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（2）表彰与奖励</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（3）医师执业安全保障</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6．法律责任</w:t>
            </w:r>
          </w:p>
        </w:tc>
        <w:tc>
          <w:tcPr>
            <w:tcW w:w="2265" w:type="pct"/>
          </w:tcPr>
          <w:p>
            <w:pPr>
              <w:rPr>
                <w:szCs w:val="21"/>
              </w:rPr>
            </w:pPr>
            <w:r>
              <w:rPr>
                <w:szCs w:val="21"/>
              </w:rPr>
              <w:t>（1）以不正当手段取得医师资格证书或者医师执业证书的法律责任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（2）医师执业活动中违法行为的法律责任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（3）非医师行医的法律责任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restart"/>
            <w:vAlign w:val="center"/>
          </w:tcPr>
          <w:p>
            <w:pPr>
              <w:rPr>
                <w:szCs w:val="21"/>
              </w:rPr>
            </w:pPr>
            <w:r>
              <w:rPr>
                <w:szCs w:val="21"/>
              </w:rPr>
              <w:t>十六、精神卫生法</w:t>
            </w:r>
          </w:p>
        </w:tc>
        <w:tc>
          <w:tcPr>
            <w:tcW w:w="1254" w:type="pct"/>
            <w:vMerge w:val="restart"/>
            <w:vAlign w:val="center"/>
          </w:tcPr>
          <w:p>
            <w:pPr>
              <w:rPr>
                <w:szCs w:val="21"/>
              </w:rPr>
            </w:pPr>
            <w:r>
              <w:rPr>
                <w:szCs w:val="21"/>
              </w:rPr>
              <w:t>1．概述</w:t>
            </w:r>
          </w:p>
        </w:tc>
        <w:tc>
          <w:tcPr>
            <w:tcW w:w="2265" w:type="pct"/>
          </w:tcPr>
          <w:p>
            <w:pPr>
              <w:rPr>
                <w:szCs w:val="21"/>
              </w:rPr>
            </w:pPr>
            <w:r>
              <w:rPr>
                <w:szCs w:val="21"/>
              </w:rPr>
              <w:t>（1）精神卫生工作的方针、原则和管理机制</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（2）精神障碍患者合法权益保护</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Align w:val="center"/>
          </w:tcPr>
          <w:p>
            <w:pPr>
              <w:rPr>
                <w:szCs w:val="21"/>
              </w:rPr>
            </w:pPr>
            <w:r>
              <w:rPr>
                <w:szCs w:val="21"/>
              </w:rPr>
              <w:t>2．心理健康促进和精神障碍预防</w:t>
            </w:r>
          </w:p>
        </w:tc>
        <w:tc>
          <w:tcPr>
            <w:tcW w:w="2265" w:type="pct"/>
          </w:tcPr>
          <w:p>
            <w:pPr>
              <w:rPr>
                <w:szCs w:val="21"/>
              </w:rPr>
            </w:pPr>
            <w:r>
              <w:rPr>
                <w:szCs w:val="21"/>
              </w:rPr>
              <w:t>医务人员对就诊者的心理健康指导</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3．精神障碍的诊断和治疗</w:t>
            </w:r>
          </w:p>
        </w:tc>
        <w:tc>
          <w:tcPr>
            <w:tcW w:w="2265" w:type="pct"/>
          </w:tcPr>
          <w:p>
            <w:pPr>
              <w:rPr>
                <w:szCs w:val="21"/>
              </w:rPr>
            </w:pPr>
            <w:r>
              <w:rPr>
                <w:szCs w:val="21"/>
              </w:rPr>
              <w:t>（1）开展精神障碍诊断、治疗活动应当具备的条件</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（2）精神障碍诊断和治疗的原则</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（3）精神障碍的诊断</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（4）精神障碍患者的住院治疗</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（5）再次诊断和医学鉴定</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（6）医疗机构及其医务人员的告知义务</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（7）保护性医疗措施的实施</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（8）使用药物的要求</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（9）病历资料及保管</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（10）心理治疗活动的开展</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4．精神障碍的康复</w:t>
            </w:r>
          </w:p>
        </w:tc>
        <w:tc>
          <w:tcPr>
            <w:tcW w:w="2265" w:type="pct"/>
          </w:tcPr>
          <w:p>
            <w:pPr>
              <w:rPr>
                <w:szCs w:val="21"/>
              </w:rPr>
            </w:pPr>
            <w:r>
              <w:rPr>
                <w:szCs w:val="21"/>
              </w:rPr>
              <w:t>（1）康复技术指导</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（2）严重精神障碍患者的健康档案</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5．法律责任</w:t>
            </w:r>
          </w:p>
        </w:tc>
        <w:tc>
          <w:tcPr>
            <w:tcW w:w="2265" w:type="pct"/>
          </w:tcPr>
          <w:p>
            <w:pPr>
              <w:rPr>
                <w:szCs w:val="21"/>
              </w:rPr>
            </w:pPr>
            <w:r>
              <w:rPr>
                <w:szCs w:val="21"/>
              </w:rPr>
              <w:t>（1）医疗机构擅自从事精神障碍诊断、治疗的法律责任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（2）医疗机构及其工作人员的法律责任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（3）从事心理治疗人员的法律责任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十七、医疗机构管理条例及其实施细则</w:t>
            </w:r>
          </w:p>
        </w:tc>
        <w:tc>
          <w:tcPr>
            <w:tcW w:w="1254" w:type="pct"/>
            <w:vAlign w:val="center"/>
          </w:tcPr>
          <w:p>
            <w:pPr>
              <w:rPr>
                <w:szCs w:val="21"/>
              </w:rPr>
            </w:pPr>
            <w:r>
              <w:rPr>
                <w:szCs w:val="21"/>
              </w:rPr>
              <w:t>1．概述</w:t>
            </w:r>
          </w:p>
        </w:tc>
        <w:tc>
          <w:tcPr>
            <w:tcW w:w="2265" w:type="pct"/>
          </w:tcPr>
          <w:p>
            <w:pPr>
              <w:rPr>
                <w:szCs w:val="21"/>
              </w:rPr>
            </w:pPr>
            <w:r>
              <w:rPr>
                <w:szCs w:val="21"/>
              </w:rPr>
              <w:t>医疗机构服务宗旨</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2．登记和校验</w:t>
            </w:r>
          </w:p>
        </w:tc>
        <w:tc>
          <w:tcPr>
            <w:tcW w:w="2265" w:type="pct"/>
          </w:tcPr>
          <w:p>
            <w:pPr>
              <w:rPr>
                <w:szCs w:val="21"/>
              </w:rPr>
            </w:pPr>
            <w:r>
              <w:rPr>
                <w:szCs w:val="21"/>
              </w:rPr>
              <w:t>（1）登记</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（2）校验</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3．医疗机构执业</w:t>
            </w:r>
          </w:p>
        </w:tc>
        <w:tc>
          <w:tcPr>
            <w:tcW w:w="2265" w:type="pct"/>
          </w:tcPr>
          <w:p>
            <w:pPr>
              <w:rPr>
                <w:szCs w:val="21"/>
              </w:rPr>
            </w:pPr>
            <w:r>
              <w:rPr>
                <w:szCs w:val="21"/>
              </w:rPr>
              <w:t>执业规则</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Align w:val="center"/>
          </w:tcPr>
          <w:p>
            <w:pPr>
              <w:rPr>
                <w:szCs w:val="21"/>
              </w:rPr>
            </w:pPr>
            <w:r>
              <w:rPr>
                <w:szCs w:val="21"/>
              </w:rPr>
              <w:t>4．法律责任</w:t>
            </w:r>
          </w:p>
        </w:tc>
        <w:tc>
          <w:tcPr>
            <w:tcW w:w="2265" w:type="pct"/>
          </w:tcPr>
          <w:p>
            <w:pPr>
              <w:rPr>
                <w:szCs w:val="21"/>
              </w:rPr>
            </w:pPr>
            <w:r>
              <w:rPr>
                <w:szCs w:val="21"/>
              </w:rPr>
              <w:t>医疗机构的法律责任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rPr>
                <w:szCs w:val="21"/>
              </w:rPr>
            </w:pPr>
            <w:r>
              <w:rPr>
                <w:szCs w:val="21"/>
              </w:rPr>
              <w:t>十八、放射诊疗管理规定</w:t>
            </w:r>
          </w:p>
        </w:tc>
        <w:tc>
          <w:tcPr>
            <w:tcW w:w="1254" w:type="pct"/>
            <w:vAlign w:val="center"/>
          </w:tcPr>
          <w:p>
            <w:pPr>
              <w:rPr>
                <w:szCs w:val="21"/>
              </w:rPr>
            </w:pPr>
            <w:r>
              <w:rPr>
                <w:szCs w:val="21"/>
              </w:rPr>
              <w:t>1．概述</w:t>
            </w:r>
          </w:p>
        </w:tc>
        <w:tc>
          <w:tcPr>
            <w:tcW w:w="2265" w:type="pct"/>
          </w:tcPr>
          <w:p>
            <w:pPr>
              <w:rPr>
                <w:szCs w:val="21"/>
              </w:rPr>
            </w:pPr>
            <w:r>
              <w:rPr>
                <w:szCs w:val="21"/>
              </w:rPr>
              <w:t>放射诊疗的概念与分类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2．执业条件</w:t>
            </w:r>
          </w:p>
        </w:tc>
        <w:tc>
          <w:tcPr>
            <w:tcW w:w="2265" w:type="pct"/>
          </w:tcPr>
          <w:p>
            <w:pPr>
              <w:rPr>
                <w:szCs w:val="21"/>
              </w:rPr>
            </w:pPr>
            <w:r>
              <w:rPr>
                <w:szCs w:val="21"/>
              </w:rPr>
              <w:t>（1）安全防护装置、辐射检测仪器和个人防护用品的配备与使用</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（2）设备和场所警示标志的设置</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3．安全防护与质量保证</w:t>
            </w:r>
          </w:p>
        </w:tc>
        <w:tc>
          <w:tcPr>
            <w:tcW w:w="2265" w:type="pct"/>
          </w:tcPr>
          <w:p>
            <w:pPr>
              <w:rPr>
                <w:szCs w:val="21"/>
              </w:rPr>
            </w:pPr>
            <w:r>
              <w:rPr>
                <w:szCs w:val="21"/>
              </w:rPr>
              <w:t>（1）场所防护要求</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（2）工作人员防护要求</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（3）患者和受检者的防护要求</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（4）放射诊断检查的原则和实施</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（5）放射治疗的原则和实施</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tcBorders>
              <w:bottom w:val="single" w:color="auto" w:sz="4" w:space="0"/>
            </w:tcBorders>
            <w:vAlign w:val="center"/>
          </w:tcPr>
          <w:p>
            <w:pPr>
              <w:rPr>
                <w:szCs w:val="21"/>
              </w:rPr>
            </w:pPr>
          </w:p>
        </w:tc>
        <w:tc>
          <w:tcPr>
            <w:tcW w:w="1254" w:type="pct"/>
            <w:tcBorders>
              <w:bottom w:val="single" w:color="auto" w:sz="4" w:space="0"/>
            </w:tcBorders>
            <w:vAlign w:val="center"/>
          </w:tcPr>
          <w:p>
            <w:pPr>
              <w:rPr>
                <w:szCs w:val="21"/>
              </w:rPr>
            </w:pPr>
            <w:r>
              <w:rPr>
                <w:szCs w:val="21"/>
              </w:rPr>
              <w:t>4．法律责任</w:t>
            </w:r>
          </w:p>
        </w:tc>
        <w:tc>
          <w:tcPr>
            <w:tcW w:w="2265" w:type="pct"/>
            <w:tcBorders>
              <w:bottom w:val="single" w:color="auto" w:sz="4" w:space="0"/>
            </w:tcBorders>
          </w:tcPr>
          <w:p>
            <w:pPr>
              <w:rPr>
                <w:szCs w:val="21"/>
              </w:rPr>
            </w:pPr>
            <w:r>
              <w:rPr>
                <w:szCs w:val="21"/>
              </w:rPr>
              <w:t>医疗机构的法律责任</w:t>
            </w:r>
          </w:p>
        </w:tc>
        <w:tc>
          <w:tcPr>
            <w:tcW w:w="543" w:type="pct"/>
            <w:tcBorders>
              <w:bottom w:val="single" w:color="auto" w:sz="4" w:space="0"/>
            </w:tcBorders>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restart"/>
            <w:vAlign w:val="center"/>
          </w:tcPr>
          <w:p>
            <w:pPr>
              <w:rPr>
                <w:szCs w:val="21"/>
              </w:rPr>
            </w:pPr>
            <w:r>
              <w:rPr>
                <w:szCs w:val="21"/>
              </w:rPr>
              <w:t>十九、药品管理法及其实施条例</w:t>
            </w:r>
          </w:p>
        </w:tc>
        <w:tc>
          <w:tcPr>
            <w:tcW w:w="1254" w:type="pct"/>
            <w:vAlign w:val="center"/>
          </w:tcPr>
          <w:p>
            <w:pPr>
              <w:rPr>
                <w:szCs w:val="21"/>
              </w:rPr>
            </w:pPr>
            <w:r>
              <w:rPr>
                <w:szCs w:val="21"/>
              </w:rPr>
              <w:t>1．概述</w:t>
            </w:r>
          </w:p>
        </w:tc>
        <w:tc>
          <w:tcPr>
            <w:tcW w:w="2265" w:type="pct"/>
          </w:tcPr>
          <w:p>
            <w:pPr>
              <w:rPr>
                <w:szCs w:val="21"/>
              </w:rPr>
            </w:pPr>
            <w:r>
              <w:rPr>
                <w:szCs w:val="21"/>
              </w:rPr>
              <w:t>药品的概念</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Align w:val="center"/>
          </w:tcPr>
          <w:p>
            <w:pPr>
              <w:rPr>
                <w:szCs w:val="21"/>
              </w:rPr>
            </w:pPr>
            <w:r>
              <w:rPr>
                <w:szCs w:val="21"/>
              </w:rPr>
              <w:t>2．药品经营</w:t>
            </w:r>
          </w:p>
        </w:tc>
        <w:tc>
          <w:tcPr>
            <w:tcW w:w="2265" w:type="pct"/>
          </w:tcPr>
          <w:p>
            <w:pPr>
              <w:rPr>
                <w:szCs w:val="21"/>
              </w:rPr>
            </w:pPr>
            <w:r>
              <w:rPr>
                <w:szCs w:val="21"/>
              </w:rPr>
              <w:t>处方药与非处方药分类管理</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szCs w:val="21"/>
              </w:rPr>
              <w:t>3．医疗机构药事管理</w:t>
            </w:r>
          </w:p>
        </w:tc>
        <w:tc>
          <w:tcPr>
            <w:tcW w:w="2265" w:type="pct"/>
          </w:tcPr>
          <w:p>
            <w:pPr>
              <w:rPr>
                <w:szCs w:val="21"/>
              </w:rPr>
            </w:pPr>
            <w:r>
              <w:rPr>
                <w:szCs w:val="21"/>
              </w:rPr>
              <w:t>（1）医疗机构配制制剂许可</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（2）医疗机构配制制剂使用</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restart"/>
            <w:vAlign w:val="center"/>
          </w:tcPr>
          <w:p>
            <w:pPr>
              <w:rPr>
                <w:szCs w:val="21"/>
              </w:rPr>
            </w:pPr>
            <w:r>
              <w:rPr>
                <w:rFonts w:hint="eastAsia"/>
                <w:szCs w:val="21"/>
              </w:rPr>
              <w:t>4</w:t>
            </w:r>
            <w:r>
              <w:rPr>
                <w:szCs w:val="21"/>
              </w:rPr>
              <w:t>．监督管理</w:t>
            </w:r>
          </w:p>
        </w:tc>
        <w:tc>
          <w:tcPr>
            <w:tcW w:w="2265" w:type="pct"/>
          </w:tcPr>
          <w:p>
            <w:pPr>
              <w:rPr>
                <w:szCs w:val="21"/>
              </w:rPr>
            </w:pPr>
            <w:r>
              <w:rPr>
                <w:szCs w:val="21"/>
              </w:rPr>
              <w:t>（1）禁止生产、销售、使用假药</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（2）禁止生产、销售、使用劣药</w:t>
            </w:r>
          </w:p>
        </w:tc>
        <w:tc>
          <w:tcPr>
            <w:tcW w:w="543" w:type="pct"/>
          </w:tcPr>
          <w:p>
            <w:pPr>
              <w:jc w:val="center"/>
              <w:rPr>
                <w:szCs w:val="21"/>
              </w:rP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restart"/>
            <w:vAlign w:val="center"/>
          </w:tcPr>
          <w:p>
            <w:pPr>
              <w:rPr>
                <w:szCs w:val="21"/>
              </w:rPr>
            </w:pPr>
            <w:r>
              <w:rPr>
                <w:rFonts w:hint="eastAsia"/>
                <w:szCs w:val="21"/>
              </w:rPr>
              <w:t>5</w:t>
            </w:r>
            <w:r>
              <w:rPr>
                <w:szCs w:val="21"/>
              </w:rPr>
              <w:t>．法律责任</w:t>
            </w:r>
          </w:p>
        </w:tc>
        <w:tc>
          <w:tcPr>
            <w:tcW w:w="2265" w:type="pct"/>
          </w:tcPr>
          <w:p>
            <w:pPr>
              <w:rPr>
                <w:szCs w:val="21"/>
              </w:rPr>
            </w:pPr>
            <w:r>
              <w:rPr>
                <w:szCs w:val="21"/>
              </w:rPr>
              <w:t>（1）医疗机构在药品购销中违法行为的法律责任</w:t>
            </w:r>
          </w:p>
        </w:tc>
        <w:tc>
          <w:tcPr>
            <w:tcW w:w="543" w:type="pct"/>
          </w:tcPr>
          <w:p>
            <w:pPr>
              <w:jc w:val="center"/>
              <w:rPr>
                <w:szCs w:val="21"/>
              </w:rPr>
            </w:pPr>
            <w:r>
              <w:rPr>
                <w:szCs w:val="21"/>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rPr>
                <w:szCs w:val="21"/>
              </w:rPr>
              <w:t>（2）医疗机构相关人员违法行为的法律责任</w:t>
            </w:r>
          </w:p>
        </w:tc>
        <w:tc>
          <w:tcPr>
            <w:tcW w:w="543" w:type="pct"/>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38" w:type="pct"/>
            <w:vMerge w:val="continue"/>
            <w:tcBorders>
              <w:bottom w:val="single" w:color="auto" w:sz="4" w:space="0"/>
            </w:tcBorders>
            <w:vAlign w:val="center"/>
          </w:tcPr>
          <w:p>
            <w:pPr>
              <w:rPr>
                <w:szCs w:val="21"/>
              </w:rPr>
            </w:pPr>
          </w:p>
        </w:tc>
        <w:tc>
          <w:tcPr>
            <w:tcW w:w="1254" w:type="pct"/>
            <w:vMerge w:val="continue"/>
            <w:tcBorders>
              <w:bottom w:val="single" w:color="auto" w:sz="4" w:space="0"/>
            </w:tcBorders>
            <w:vAlign w:val="center"/>
          </w:tcPr>
          <w:p>
            <w:pPr>
              <w:rPr>
                <w:szCs w:val="21"/>
              </w:rPr>
            </w:pPr>
          </w:p>
        </w:tc>
        <w:tc>
          <w:tcPr>
            <w:tcW w:w="2265" w:type="pct"/>
            <w:tcBorders>
              <w:bottom w:val="single" w:color="auto" w:sz="4" w:space="0"/>
            </w:tcBorders>
          </w:tcPr>
          <w:p>
            <w:pPr>
              <w:rPr>
                <w:szCs w:val="21"/>
              </w:rPr>
            </w:pPr>
            <w:r>
              <w:rPr>
                <w:szCs w:val="21"/>
              </w:rPr>
              <w:t>（3）生产、销售、使用假药、劣药的法律责任</w:t>
            </w:r>
          </w:p>
        </w:tc>
        <w:tc>
          <w:tcPr>
            <w:tcW w:w="543" w:type="pct"/>
            <w:tcBorders>
              <w:bottom w:val="single" w:color="auto" w:sz="4" w:space="0"/>
            </w:tcBorders>
          </w:tcPr>
          <w:p>
            <w:pPr>
              <w:jc w:val="center"/>
              <w:rPr>
                <w:szCs w:val="21"/>
              </w:rPr>
            </w:pPr>
            <w:r>
              <w:rPr>
                <w:szCs w:val="21"/>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000" w:type="pct"/>
            <w:gridSpan w:val="4"/>
            <w:tcBorders>
              <w:top w:val="single" w:color="auto" w:sz="4" w:space="0"/>
              <w:left w:val="nil"/>
              <w:bottom w:val="single" w:color="auto" w:sz="4" w:space="0"/>
              <w:right w:val="nil"/>
            </w:tcBorders>
            <w:vAlign w:val="center"/>
          </w:tcPr>
          <w:p>
            <w:pPr>
              <w:pStyle w:val="77"/>
              <w:rPr>
                <w:szCs w:val="21"/>
              </w:rPr>
            </w:pPr>
            <w:bookmarkStart w:id="8" w:name="_Toc144217045"/>
            <w:r>
              <w:rPr>
                <w:rFonts w:hint="eastAsia"/>
              </w:rPr>
              <w:t>四、医学人文素养</w:t>
            </w:r>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bottom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bottom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bottom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bottom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tcBorders>
              <w:top w:val="single" w:color="auto" w:sz="4" w:space="0"/>
            </w:tcBorders>
            <w:vAlign w:val="center"/>
          </w:tcPr>
          <w:p>
            <w:pPr>
              <w:rPr>
                <w:szCs w:val="21"/>
              </w:rPr>
            </w:pPr>
            <w:r>
              <w:rPr>
                <w:rFonts w:hint="eastAsia"/>
                <w:szCs w:val="21"/>
              </w:rPr>
              <w:t>医学人文素养</w:t>
            </w:r>
          </w:p>
        </w:tc>
        <w:tc>
          <w:tcPr>
            <w:tcW w:w="1254" w:type="pct"/>
            <w:vMerge w:val="restart"/>
            <w:tcBorders>
              <w:top w:val="single" w:color="auto" w:sz="4" w:space="0"/>
            </w:tcBorders>
            <w:vAlign w:val="center"/>
          </w:tcPr>
          <w:p>
            <w:pPr>
              <w:rPr>
                <w:szCs w:val="21"/>
              </w:rPr>
            </w:pPr>
            <w:r>
              <w:rPr>
                <w:rFonts w:hint="eastAsia"/>
                <w:szCs w:val="21"/>
              </w:rPr>
              <w:t>职业素质</w:t>
            </w:r>
          </w:p>
        </w:tc>
        <w:tc>
          <w:tcPr>
            <w:tcW w:w="2265" w:type="pct"/>
            <w:tcBorders>
              <w:top w:val="single" w:color="auto" w:sz="4" w:space="0"/>
            </w:tcBorders>
          </w:tcPr>
          <w:p>
            <w:pPr>
              <w:rPr>
                <w:szCs w:val="21"/>
              </w:rPr>
            </w:pPr>
            <w:r>
              <w:t>（</w:t>
            </w:r>
            <w:r>
              <w:rPr>
                <w:rFonts w:hint="eastAsia"/>
              </w:rPr>
              <w:t>1</w:t>
            </w:r>
            <w:r>
              <w:t>）团队协作能力</w:t>
            </w:r>
          </w:p>
        </w:tc>
        <w:tc>
          <w:tcPr>
            <w:tcW w:w="543" w:type="pct"/>
            <w:tcBorders>
              <w:top w:val="single" w:color="auto" w:sz="4" w:space="0"/>
            </w:tcBorders>
          </w:tcPr>
          <w:p>
            <w:pPr>
              <w:jc w:val="cente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t>（</w:t>
            </w:r>
            <w:r>
              <w:rPr>
                <w:rFonts w:hint="eastAsia"/>
              </w:rPr>
              <w:t>2</w:t>
            </w:r>
            <w:r>
              <w:t>）组织协调能力</w:t>
            </w:r>
          </w:p>
        </w:tc>
        <w:tc>
          <w:tcPr>
            <w:tcW w:w="543" w:type="pct"/>
          </w:tcPr>
          <w:p>
            <w:pPr>
              <w:jc w:val="cente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rPr>
                <w:szCs w:val="21"/>
              </w:rPr>
            </w:pPr>
          </w:p>
        </w:tc>
        <w:tc>
          <w:tcPr>
            <w:tcW w:w="1254" w:type="pct"/>
            <w:vMerge w:val="continue"/>
            <w:vAlign w:val="center"/>
          </w:tcPr>
          <w:p>
            <w:pPr>
              <w:rPr>
                <w:szCs w:val="21"/>
              </w:rPr>
            </w:pPr>
          </w:p>
        </w:tc>
        <w:tc>
          <w:tcPr>
            <w:tcW w:w="2265" w:type="pct"/>
          </w:tcPr>
          <w:p>
            <w:pPr>
              <w:rPr>
                <w:szCs w:val="21"/>
              </w:rPr>
            </w:pPr>
            <w:r>
              <w:t>（</w:t>
            </w:r>
            <w:r>
              <w:rPr>
                <w:rFonts w:hint="eastAsia"/>
              </w:rPr>
              <w:t>3</w:t>
            </w:r>
            <w:r>
              <w:t>）沟通交流能力</w:t>
            </w:r>
          </w:p>
        </w:tc>
        <w:tc>
          <w:tcPr>
            <w:tcW w:w="543" w:type="pct"/>
          </w:tcPr>
          <w:p>
            <w:pPr>
              <w:jc w:val="cente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tcBorders>
              <w:bottom w:val="single" w:color="auto" w:sz="4" w:space="0"/>
            </w:tcBorders>
            <w:vAlign w:val="center"/>
          </w:tcPr>
          <w:p>
            <w:pPr>
              <w:rPr>
                <w:szCs w:val="21"/>
              </w:rPr>
            </w:pPr>
          </w:p>
        </w:tc>
        <w:tc>
          <w:tcPr>
            <w:tcW w:w="1254" w:type="pct"/>
            <w:vMerge w:val="continue"/>
            <w:tcBorders>
              <w:bottom w:val="single" w:color="auto" w:sz="4" w:space="0"/>
            </w:tcBorders>
            <w:vAlign w:val="center"/>
          </w:tcPr>
          <w:p>
            <w:pPr>
              <w:rPr>
                <w:szCs w:val="21"/>
              </w:rPr>
            </w:pPr>
          </w:p>
        </w:tc>
        <w:tc>
          <w:tcPr>
            <w:tcW w:w="2265" w:type="pct"/>
            <w:tcBorders>
              <w:bottom w:val="single" w:color="auto" w:sz="4" w:space="0"/>
            </w:tcBorders>
          </w:tcPr>
          <w:p>
            <w:pPr>
              <w:rPr>
                <w:szCs w:val="21"/>
              </w:rPr>
            </w:pPr>
            <w:r>
              <w:t>（</w:t>
            </w:r>
            <w:r>
              <w:rPr>
                <w:rFonts w:hint="eastAsia"/>
              </w:rPr>
              <w:t>4</w:t>
            </w:r>
            <w:r>
              <w:t>）社会动员能力</w:t>
            </w:r>
          </w:p>
        </w:tc>
        <w:tc>
          <w:tcPr>
            <w:tcW w:w="543" w:type="pct"/>
            <w:tcBorders>
              <w:bottom w:val="single" w:color="auto" w:sz="4" w:space="0"/>
            </w:tcBorders>
          </w:tcPr>
          <w:p>
            <w:pPr>
              <w:jc w:val="center"/>
            </w:pPr>
            <w:r>
              <w:rPr>
                <w:szCs w:val="21"/>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4"/>
            <w:tcBorders>
              <w:top w:val="single" w:color="auto" w:sz="4" w:space="0"/>
              <w:left w:val="nil"/>
              <w:bottom w:val="nil"/>
              <w:right w:val="nil"/>
            </w:tcBorders>
            <w:vAlign w:val="center"/>
          </w:tcPr>
          <w:p>
            <w:pPr>
              <w:pStyle w:val="76"/>
            </w:pPr>
            <w:bookmarkStart w:id="9" w:name="_Toc142388611"/>
            <w:bookmarkStart w:id="10" w:name="_Toc144217046"/>
            <w:r>
              <w:t>第</w:t>
            </w:r>
            <w:r>
              <w:rPr>
                <w:rFonts w:hint="eastAsia"/>
              </w:rPr>
              <w:t>二</w:t>
            </w:r>
            <w:r>
              <w:t>部分 基础医学综合</w:t>
            </w:r>
            <w:bookmarkEnd w:id="9"/>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4"/>
            <w:tcBorders>
              <w:top w:val="nil"/>
              <w:left w:val="nil"/>
              <w:bottom w:val="nil"/>
              <w:right w:val="nil"/>
            </w:tcBorders>
            <w:vAlign w:val="center"/>
          </w:tcPr>
          <w:p>
            <w:pPr>
              <w:ind w:firstLine="420" w:firstLineChars="200"/>
              <w:jc w:val="left"/>
              <w:rPr>
                <w:szCs w:val="21"/>
              </w:rPr>
            </w:pPr>
            <w:r>
              <w:rPr>
                <w:szCs w:val="21"/>
              </w:rPr>
              <w:t>考核的内容是公共卫生执业</w:t>
            </w:r>
            <w:r>
              <w:rPr>
                <w:rFonts w:hint="eastAsia"/>
                <w:szCs w:val="21"/>
              </w:rPr>
              <w:t>助理</w:t>
            </w:r>
            <w:r>
              <w:rPr>
                <w:szCs w:val="21"/>
              </w:rPr>
              <w:t>医师工作中必需掌握的基础医学的基本理论、概念、原则等</w:t>
            </w:r>
            <w:r>
              <w:rPr>
                <w:rFonts w:hint="eastAsia"/>
                <w:szCs w:val="21"/>
              </w:rPr>
              <w:t>，以及在实际工作情景中的应用。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4"/>
            <w:tcBorders>
              <w:top w:val="nil"/>
              <w:left w:val="nil"/>
              <w:bottom w:val="single" w:color="auto" w:sz="4" w:space="0"/>
              <w:right w:val="nil"/>
            </w:tcBorders>
            <w:vAlign w:val="center"/>
          </w:tcPr>
          <w:p>
            <w:pPr>
              <w:pStyle w:val="77"/>
              <w:rPr>
                <w:szCs w:val="21"/>
              </w:rPr>
            </w:pPr>
            <w:bookmarkStart w:id="11" w:name="_Toc142388612"/>
            <w:bookmarkStart w:id="12" w:name="_Toc144217047"/>
            <w:r>
              <w:rPr>
                <w:rFonts w:hint="eastAsia"/>
              </w:rPr>
              <w:t>一、</w:t>
            </w:r>
            <w:r>
              <w:t>生物化学</w:t>
            </w:r>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top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top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top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top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一、蛋白质的化学</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．蛋白质的分子组成</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）元素组成</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）基本单位</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．蛋白质的分子结构</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）肽键与肽链</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）一级结构</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）二级结构</w:t>
            </w:r>
          </w:p>
        </w:tc>
        <w:tc>
          <w:tcPr>
            <w:tcW w:w="543" w:type="pct"/>
            <w:vAlign w:val="center"/>
          </w:tcPr>
          <w:p>
            <w:pPr>
              <w:jc w:val="center"/>
              <w:rPr>
                <w:lang w:eastAsia="zh-Hans"/>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）三级和四级结构的概念</w:t>
            </w:r>
          </w:p>
        </w:tc>
        <w:tc>
          <w:tcPr>
            <w:tcW w:w="543" w:type="pct"/>
            <w:vAlign w:val="center"/>
          </w:tcPr>
          <w:p>
            <w:pPr>
              <w:jc w:val="center"/>
              <w:rPr>
                <w:rStyle w:val="71"/>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kern w:val="0"/>
                <w:sz w:val="22"/>
              </w:rPr>
            </w:pPr>
            <w:r>
              <w:rPr>
                <w:kern w:val="0"/>
                <w:sz w:val="22"/>
              </w:rPr>
              <w:t>（5）蛋白质的分类</w:t>
            </w:r>
          </w:p>
        </w:tc>
        <w:tc>
          <w:tcPr>
            <w:tcW w:w="543" w:type="pct"/>
          </w:tcPr>
          <w:p>
            <w:pPr>
              <w:widowControl/>
              <w:ind w:firstLine="220" w:firstLineChars="100"/>
              <w:jc w:val="left"/>
              <w:outlineLvl w:val="1"/>
              <w:rPr>
                <w:kern w:val="0"/>
                <w:sz w:val="22"/>
                <w:lang w:eastAsia="zh-Hans"/>
              </w:rPr>
            </w:pPr>
            <w:r>
              <w:rPr>
                <w:kern w:val="0"/>
                <w:sz w:val="22"/>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．蛋白质的理化性质</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）等电点</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）沉淀</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）变性</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二、维生素</w:t>
            </w:r>
          </w:p>
        </w:tc>
        <w:tc>
          <w:tcPr>
            <w:tcW w:w="1254" w:type="pct"/>
            <w:vAlign w:val="center"/>
          </w:tcPr>
          <w:p>
            <w:pPr>
              <w:widowControl/>
              <w:jc w:val="left"/>
              <w:outlineLvl w:val="1"/>
              <w:rPr>
                <w:rFonts w:eastAsia="等线"/>
                <w:kern w:val="0"/>
                <w:sz w:val="22"/>
              </w:rPr>
            </w:pPr>
            <w:r>
              <w:rPr>
                <w:rFonts w:eastAsia="等线"/>
                <w:kern w:val="0"/>
                <w:sz w:val="22"/>
              </w:rPr>
              <w:t>1</w:t>
            </w:r>
            <w:r>
              <w:rPr>
                <w:kern w:val="0"/>
                <w:sz w:val="22"/>
              </w:rPr>
              <w:t>．脂溶性维生素</w:t>
            </w:r>
          </w:p>
        </w:tc>
        <w:tc>
          <w:tcPr>
            <w:tcW w:w="2265" w:type="pct"/>
            <w:vAlign w:val="center"/>
          </w:tcPr>
          <w:p>
            <w:pPr>
              <w:widowControl/>
              <w:jc w:val="left"/>
              <w:outlineLvl w:val="1"/>
              <w:rPr>
                <w:rFonts w:eastAsia="等线"/>
                <w:kern w:val="0"/>
                <w:sz w:val="22"/>
              </w:rPr>
            </w:pPr>
            <w:r>
              <w:rPr>
                <w:kern w:val="0"/>
                <w:sz w:val="22"/>
              </w:rPr>
              <w:t>脂溶性维生素的生理功能</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Align w:val="center"/>
          </w:tcPr>
          <w:p>
            <w:pPr>
              <w:widowControl/>
              <w:jc w:val="left"/>
              <w:outlineLvl w:val="1"/>
              <w:rPr>
                <w:rFonts w:eastAsia="等线"/>
                <w:kern w:val="0"/>
                <w:sz w:val="22"/>
              </w:rPr>
            </w:pPr>
            <w:r>
              <w:rPr>
                <w:rFonts w:eastAsia="等线"/>
                <w:kern w:val="0"/>
                <w:sz w:val="22"/>
              </w:rPr>
              <w:t>2</w:t>
            </w:r>
            <w:r>
              <w:rPr>
                <w:kern w:val="0"/>
                <w:sz w:val="22"/>
              </w:rPr>
              <w:t>．水溶性维生素</w:t>
            </w:r>
          </w:p>
        </w:tc>
        <w:tc>
          <w:tcPr>
            <w:tcW w:w="2265" w:type="pct"/>
            <w:vAlign w:val="center"/>
          </w:tcPr>
          <w:p>
            <w:pPr>
              <w:widowControl/>
              <w:jc w:val="left"/>
              <w:outlineLvl w:val="1"/>
              <w:rPr>
                <w:rFonts w:eastAsia="等线"/>
                <w:kern w:val="0"/>
                <w:sz w:val="22"/>
              </w:rPr>
            </w:pPr>
            <w:r>
              <w:rPr>
                <w:kern w:val="0"/>
                <w:sz w:val="22"/>
              </w:rPr>
              <w:t>水溶性维生素的生理功能</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三、酶</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．概述</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）酶促反应的特点</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．酶的结构与功能</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）分子组成</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）活性中心与必需基团</w:t>
            </w:r>
          </w:p>
        </w:tc>
        <w:tc>
          <w:tcPr>
            <w:tcW w:w="543" w:type="pct"/>
            <w:vAlign w:val="center"/>
          </w:tcPr>
          <w:p>
            <w:pPr>
              <w:jc w:val="center"/>
              <w:rPr>
                <w:lang w:eastAsia="zh-Hans"/>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）酶原与酶原激活</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）同工酶</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kern w:val="0"/>
                <w:sz w:val="22"/>
              </w:rPr>
            </w:pPr>
            <w:r>
              <w:rPr>
                <w:kern w:val="0"/>
                <w:sz w:val="22"/>
              </w:rPr>
              <w:t>（5）关键酶</w:t>
            </w:r>
          </w:p>
        </w:tc>
        <w:tc>
          <w:tcPr>
            <w:tcW w:w="543" w:type="pct"/>
          </w:tcPr>
          <w:p>
            <w:pPr>
              <w:widowControl/>
              <w:ind w:firstLine="220" w:firstLineChars="100"/>
              <w:jc w:val="left"/>
              <w:outlineLvl w:val="1"/>
              <w:rPr>
                <w:kern w:val="0"/>
                <w:sz w:val="22"/>
                <w:lang w:eastAsia="zh-Hans"/>
              </w:rPr>
            </w:pPr>
            <w:r>
              <w:rPr>
                <w:kern w:val="0"/>
                <w:sz w:val="22"/>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．影响酶促反应速度的因素</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）酶浓度</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）底物浓度</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）温度</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w:t>
            </w:r>
            <w:r>
              <w:rPr>
                <w:rFonts w:eastAsia="等线"/>
                <w:kern w:val="0"/>
                <w:sz w:val="22"/>
              </w:rPr>
              <w:t>pH</w:t>
            </w:r>
            <w:r>
              <w:rPr>
                <w:kern w:val="0"/>
                <w:sz w:val="22"/>
              </w:rPr>
              <w:t>值</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四、糖代谢</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．糖的分解代谢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）糖酵解和无氧氧化的主要过程、关键酶和生理意义</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）糖有氧氧化的基本过程、关键酶和生理意义</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）戊糖磷酸途径的生理意义</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．糖原的合成与分解</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）生理意义</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．糖异生</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）反应途径的关键酶</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）生理意义</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4</w:t>
            </w:r>
            <w:r>
              <w:rPr>
                <w:kern w:val="0"/>
                <w:sz w:val="22"/>
              </w:rPr>
              <w:t>．血糖</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）血糖的来源和去路</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）血糖浓度的调节</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）高血糖和低血糖</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五、脂质代谢</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．脂质概述</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）分类</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）生理功能</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．甘油三酯的分解代谢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）甘油三酯的水解</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）甘油的氧化分解</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）脂肪酸的</w:t>
            </w:r>
            <w:r>
              <w:rPr>
                <w:rFonts w:eastAsia="等线"/>
                <w:kern w:val="0"/>
                <w:sz w:val="22"/>
              </w:rPr>
              <w:t>β</w:t>
            </w:r>
            <w:r>
              <w:rPr>
                <w:kern w:val="0"/>
                <w:sz w:val="22"/>
              </w:rPr>
              <w:t>氧化</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）酮体的生成和利用</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．甘油三酯的合成代谢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）合成的部位</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）合成的原料</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4</w:t>
            </w:r>
            <w:r>
              <w:rPr>
                <w:kern w:val="0"/>
                <w:sz w:val="22"/>
              </w:rPr>
              <w:t>．胆固醇的代谢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）合成的部位、原料和关键酶</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）转化与去路</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5</w:t>
            </w:r>
            <w:r>
              <w:rPr>
                <w:kern w:val="0"/>
                <w:sz w:val="22"/>
              </w:rPr>
              <w:t>．血脂</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）血脂的组成与含量</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）血浆脂蛋白的分类、代谢及功能</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六、生物氧化</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．概述</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）生物氧化的概念</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）生物氧化的特点</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Align w:val="center"/>
          </w:tcPr>
          <w:p>
            <w:pPr>
              <w:widowControl/>
              <w:jc w:val="left"/>
              <w:outlineLvl w:val="1"/>
              <w:rPr>
                <w:rFonts w:eastAsia="等线"/>
                <w:kern w:val="0"/>
                <w:sz w:val="22"/>
              </w:rPr>
            </w:pPr>
            <w:r>
              <w:rPr>
                <w:rFonts w:eastAsia="等线"/>
                <w:kern w:val="0"/>
                <w:sz w:val="22"/>
              </w:rPr>
              <w:t>2</w:t>
            </w:r>
            <w:r>
              <w:rPr>
                <w:kern w:val="0"/>
                <w:sz w:val="22"/>
              </w:rPr>
              <w:t>．呼吸链</w:t>
            </w:r>
          </w:p>
        </w:tc>
        <w:tc>
          <w:tcPr>
            <w:tcW w:w="2265" w:type="pct"/>
            <w:vAlign w:val="center"/>
          </w:tcPr>
          <w:p>
            <w:pPr>
              <w:widowControl/>
              <w:jc w:val="left"/>
              <w:outlineLvl w:val="1"/>
              <w:rPr>
                <w:rFonts w:eastAsia="等线"/>
                <w:kern w:val="0"/>
                <w:sz w:val="22"/>
              </w:rPr>
            </w:pPr>
            <w:r>
              <w:rPr>
                <w:kern w:val="0"/>
                <w:sz w:val="22"/>
              </w:rPr>
              <w:t>呼吸链的概念</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w:t>
            </w:r>
            <w:r>
              <w:rPr>
                <w:rFonts w:eastAsia="等线"/>
                <w:kern w:val="0"/>
                <w:sz w:val="22"/>
              </w:rPr>
              <w:t>ATP</w:t>
            </w:r>
            <w:r>
              <w:rPr>
                <w:kern w:val="0"/>
                <w:sz w:val="22"/>
              </w:rPr>
              <w:t>的生成</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w:t>
            </w:r>
            <w:r>
              <w:rPr>
                <w:rFonts w:eastAsia="等线"/>
                <w:kern w:val="0"/>
                <w:sz w:val="22"/>
              </w:rPr>
              <w:t>ATP</w:t>
            </w:r>
            <w:r>
              <w:rPr>
                <w:kern w:val="0"/>
                <w:sz w:val="22"/>
              </w:rPr>
              <w:t>的生成和利用</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）影响氧化磷酸化的因素</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七、氨基酸代谢</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．蛋白质的营养作用</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）蛋白质的生理功能</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）营养必需氨基酸</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）蛋白质的营养互补作用</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．氨基酸的一般代谢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）氨基酸的脱氨基作用</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）氨的代谢</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w:t>
            </w:r>
            <w:r>
              <w:rPr>
                <w:rFonts w:eastAsia="等线"/>
                <w:kern w:val="0"/>
                <w:sz w:val="22"/>
              </w:rPr>
              <w:t>α-</w:t>
            </w:r>
            <w:r>
              <w:rPr>
                <w:kern w:val="0"/>
                <w:sz w:val="22"/>
              </w:rPr>
              <w:t>酮酸的代谢</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．个别氨基酸的代谢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）氨基酸的脱羧基作用</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）一碳单位的概念</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）苯丙氨酸和酪氨酸代谢</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八、核酸的结构、功能与核苷酸代谢</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．核酸的分子组成</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）分类</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）基本成分</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）基本单位</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w:t>
            </w:r>
            <w:r>
              <w:rPr>
                <w:rFonts w:eastAsia="等线"/>
                <w:kern w:val="0"/>
                <w:sz w:val="22"/>
              </w:rPr>
              <w:t>DNA</w:t>
            </w:r>
            <w:r>
              <w:rPr>
                <w:kern w:val="0"/>
                <w:sz w:val="22"/>
              </w:rPr>
              <w:t>的结构与功能</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）一级结构</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）二级结构</w:t>
            </w:r>
            <w:r>
              <w:rPr>
                <w:rFonts w:eastAsia="等线"/>
                <w:kern w:val="0"/>
                <w:sz w:val="22"/>
              </w:rPr>
              <w:t>—</w:t>
            </w:r>
            <w:r>
              <w:rPr>
                <w:kern w:val="0"/>
                <w:sz w:val="22"/>
              </w:rPr>
              <w:t>双螺旋结构</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3</w:t>
            </w:r>
            <w:r>
              <w:rPr>
                <w:kern w:val="0"/>
                <w:sz w:val="22"/>
              </w:rPr>
              <w:t>．</w:t>
            </w:r>
            <w:r>
              <w:rPr>
                <w:rFonts w:eastAsia="等线"/>
                <w:kern w:val="0"/>
                <w:sz w:val="22"/>
              </w:rPr>
              <w:t>RNA</w:t>
            </w:r>
            <w:r>
              <w:rPr>
                <w:kern w:val="0"/>
                <w:sz w:val="22"/>
              </w:rPr>
              <w:t>的结构与功能</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w:t>
            </w:r>
            <w:r>
              <w:rPr>
                <w:rFonts w:eastAsia="等线"/>
                <w:kern w:val="0"/>
                <w:sz w:val="22"/>
              </w:rPr>
              <w:t>mRNA</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w:t>
            </w:r>
            <w:r>
              <w:rPr>
                <w:rFonts w:eastAsia="等线"/>
                <w:kern w:val="0"/>
                <w:sz w:val="22"/>
              </w:rPr>
              <w:t>tRNA</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w:t>
            </w:r>
            <w:r>
              <w:rPr>
                <w:rFonts w:eastAsia="等线"/>
                <w:kern w:val="0"/>
                <w:sz w:val="22"/>
              </w:rPr>
              <w:t>rRNA</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4</w:t>
            </w:r>
            <w:r>
              <w:rPr>
                <w:kern w:val="0"/>
                <w:sz w:val="22"/>
              </w:rPr>
              <w:t>．核酸的理化性质</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）紫外光吸收特征</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）变性和复性</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5</w:t>
            </w:r>
            <w:r>
              <w:rPr>
                <w:kern w:val="0"/>
                <w:sz w:val="22"/>
              </w:rPr>
              <w:t>．核苷酸的代谢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）嘌呤核苷酸的分解产物</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）嘧啶核苷酸的分解产物</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九、肝生物化学</w:t>
            </w:r>
          </w:p>
        </w:tc>
        <w:tc>
          <w:tcPr>
            <w:tcW w:w="1254" w:type="pct"/>
            <w:vMerge w:val="restart"/>
            <w:vAlign w:val="center"/>
          </w:tcPr>
          <w:p>
            <w:pPr>
              <w:widowControl/>
              <w:jc w:val="left"/>
              <w:outlineLvl w:val="1"/>
              <w:rPr>
                <w:rFonts w:eastAsia="等线"/>
                <w:kern w:val="0"/>
                <w:sz w:val="22"/>
              </w:rPr>
            </w:pPr>
            <w:r>
              <w:rPr>
                <w:rFonts w:eastAsia="等线"/>
                <w:kern w:val="0"/>
                <w:sz w:val="22"/>
              </w:rPr>
              <w:t>1</w:t>
            </w:r>
            <w:r>
              <w:rPr>
                <w:kern w:val="0"/>
                <w:sz w:val="22"/>
              </w:rPr>
              <w:t>．生物转化作用</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）反应类型</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）生理意义</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restart"/>
            <w:vAlign w:val="center"/>
          </w:tcPr>
          <w:p>
            <w:pPr>
              <w:widowControl/>
              <w:jc w:val="left"/>
              <w:outlineLvl w:val="1"/>
              <w:rPr>
                <w:rFonts w:eastAsia="等线"/>
                <w:kern w:val="0"/>
                <w:sz w:val="22"/>
              </w:rPr>
            </w:pPr>
            <w:r>
              <w:rPr>
                <w:rFonts w:eastAsia="等线"/>
                <w:kern w:val="0"/>
                <w:sz w:val="22"/>
              </w:rPr>
              <w:t>2</w:t>
            </w:r>
            <w:r>
              <w:rPr>
                <w:kern w:val="0"/>
                <w:sz w:val="22"/>
              </w:rPr>
              <w:t>．胆色素代谢</w:t>
            </w: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）胆色素的概念</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）游离胆红素</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）结合胆红素</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）胆红素在肠道中的变化</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vAlign w:val="center"/>
          </w:tcPr>
          <w:p>
            <w:pPr>
              <w:widowControl/>
              <w:jc w:val="left"/>
              <w:outlineLvl w:val="1"/>
              <w:rPr>
                <w:rFonts w:eastAsia="等线"/>
                <w:kern w:val="0"/>
                <w:sz w:val="22"/>
              </w:rPr>
            </w:pPr>
          </w:p>
        </w:tc>
        <w:tc>
          <w:tcPr>
            <w:tcW w:w="1254" w:type="pct"/>
            <w:vMerge w:val="continue"/>
            <w:vAlign w:val="center"/>
          </w:tcPr>
          <w:p>
            <w:pPr>
              <w:widowControl/>
              <w:jc w:val="left"/>
              <w:outlineLvl w:val="1"/>
              <w:rPr>
                <w:rFonts w:eastAsia="等线"/>
                <w:kern w:val="0"/>
                <w:sz w:val="22"/>
              </w:rPr>
            </w:pPr>
          </w:p>
        </w:tc>
        <w:tc>
          <w:tcPr>
            <w:tcW w:w="2265" w:type="pct"/>
            <w:vAlign w:val="center"/>
          </w:tcPr>
          <w:p>
            <w:pPr>
              <w:widowControl/>
              <w:jc w:val="left"/>
              <w:outlineLvl w:val="1"/>
              <w:rPr>
                <w:rFonts w:eastAsia="等线"/>
                <w:kern w:val="0"/>
                <w:sz w:val="22"/>
              </w:rPr>
            </w:pPr>
            <w:r>
              <w:rPr>
                <w:kern w:val="0"/>
                <w:sz w:val="22"/>
              </w:rPr>
              <w:t>（</w:t>
            </w:r>
            <w:r>
              <w:rPr>
                <w:rFonts w:eastAsia="等线"/>
                <w:kern w:val="0"/>
                <w:sz w:val="22"/>
              </w:rPr>
              <w:t>5</w:t>
            </w:r>
            <w:r>
              <w:rPr>
                <w:kern w:val="0"/>
                <w:sz w:val="22"/>
              </w:rPr>
              <w:t>）胆色素代谢与黄疸</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restart"/>
            <w:vAlign w:val="center"/>
          </w:tcPr>
          <w:p>
            <w:pPr>
              <w:widowControl/>
              <w:jc w:val="left"/>
              <w:outlineLvl w:val="1"/>
              <w:rPr>
                <w:rFonts w:eastAsia="等线"/>
                <w:kern w:val="0"/>
                <w:sz w:val="22"/>
              </w:rPr>
            </w:pPr>
            <w:r>
              <w:rPr>
                <w:kern w:val="0"/>
                <w:sz w:val="22"/>
              </w:rPr>
              <w:t>十、钙磷代谢</w:t>
            </w:r>
          </w:p>
        </w:tc>
        <w:tc>
          <w:tcPr>
            <w:tcW w:w="1254" w:type="pct"/>
            <w:vAlign w:val="center"/>
          </w:tcPr>
          <w:p>
            <w:pPr>
              <w:widowControl/>
              <w:jc w:val="left"/>
              <w:outlineLvl w:val="1"/>
              <w:rPr>
                <w:rFonts w:eastAsia="等线"/>
                <w:kern w:val="0"/>
                <w:sz w:val="22"/>
              </w:rPr>
            </w:pPr>
            <w:r>
              <w:rPr>
                <w:rFonts w:eastAsia="等线"/>
                <w:kern w:val="0"/>
                <w:sz w:val="22"/>
              </w:rPr>
              <w:t>1</w:t>
            </w:r>
            <w:r>
              <w:rPr>
                <w:kern w:val="0"/>
                <w:sz w:val="22"/>
              </w:rPr>
              <w:t>．</w:t>
            </w:r>
            <w:r>
              <w:rPr>
                <w:kern w:val="0"/>
                <w:szCs w:val="21"/>
              </w:rPr>
              <w:t>钙</w:t>
            </w:r>
          </w:p>
        </w:tc>
        <w:tc>
          <w:tcPr>
            <w:tcW w:w="2265" w:type="pct"/>
            <w:vAlign w:val="center"/>
          </w:tcPr>
          <w:p>
            <w:pPr>
              <w:widowControl/>
              <w:jc w:val="left"/>
              <w:outlineLvl w:val="1"/>
              <w:rPr>
                <w:rFonts w:eastAsia="等线"/>
                <w:kern w:val="0"/>
                <w:szCs w:val="21"/>
              </w:rPr>
            </w:pPr>
            <w:r>
              <w:rPr>
                <w:kern w:val="0"/>
                <w:szCs w:val="21"/>
              </w:rPr>
              <w:t>钙的代谢、功能及钙缺乏</w:t>
            </w:r>
          </w:p>
        </w:tc>
        <w:tc>
          <w:tcPr>
            <w:tcW w:w="543" w:type="pct"/>
          </w:tcPr>
          <w:p>
            <w:pPr>
              <w:widowControl/>
              <w:ind w:firstLine="210" w:firstLineChars="100"/>
              <w:jc w:val="left"/>
              <w:outlineLvl w:val="1"/>
              <w:rPr>
                <w:kern w:val="0"/>
                <w:szCs w:val="21"/>
                <w:lang w:eastAsia="zh-Hans"/>
              </w:rPr>
            </w:pPr>
            <w:r>
              <w:rPr>
                <w:kern w:val="0"/>
                <w:szCs w:val="21"/>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38" w:type="pct"/>
            <w:vMerge w:val="continue"/>
            <w:tcBorders>
              <w:bottom w:val="single" w:color="auto" w:sz="4" w:space="0"/>
            </w:tcBorders>
            <w:vAlign w:val="center"/>
          </w:tcPr>
          <w:p>
            <w:pPr>
              <w:widowControl/>
              <w:jc w:val="left"/>
              <w:outlineLvl w:val="1"/>
              <w:rPr>
                <w:rFonts w:eastAsia="等线"/>
                <w:kern w:val="0"/>
                <w:sz w:val="22"/>
              </w:rPr>
            </w:pPr>
          </w:p>
        </w:tc>
        <w:tc>
          <w:tcPr>
            <w:tcW w:w="1254" w:type="pct"/>
            <w:tcBorders>
              <w:bottom w:val="single" w:color="auto" w:sz="4" w:space="0"/>
            </w:tcBorders>
            <w:vAlign w:val="center"/>
          </w:tcPr>
          <w:p>
            <w:pPr>
              <w:widowControl/>
              <w:jc w:val="left"/>
              <w:outlineLvl w:val="1"/>
              <w:rPr>
                <w:rFonts w:eastAsia="等线"/>
                <w:kern w:val="0"/>
                <w:sz w:val="22"/>
              </w:rPr>
            </w:pPr>
            <w:r>
              <w:rPr>
                <w:rFonts w:eastAsia="等线"/>
                <w:kern w:val="0"/>
                <w:sz w:val="22"/>
              </w:rPr>
              <w:t>2</w:t>
            </w:r>
            <w:r>
              <w:rPr>
                <w:kern w:val="0"/>
                <w:sz w:val="22"/>
              </w:rPr>
              <w:t>．</w:t>
            </w:r>
            <w:r>
              <w:rPr>
                <w:kern w:val="0"/>
                <w:szCs w:val="21"/>
              </w:rPr>
              <w:t>磷</w:t>
            </w:r>
          </w:p>
        </w:tc>
        <w:tc>
          <w:tcPr>
            <w:tcW w:w="2265" w:type="pct"/>
            <w:tcBorders>
              <w:bottom w:val="single" w:color="auto" w:sz="4" w:space="0"/>
            </w:tcBorders>
            <w:vAlign w:val="center"/>
          </w:tcPr>
          <w:p>
            <w:pPr>
              <w:widowControl/>
              <w:jc w:val="left"/>
              <w:outlineLvl w:val="1"/>
              <w:rPr>
                <w:rFonts w:eastAsia="等线"/>
                <w:kern w:val="0"/>
                <w:szCs w:val="21"/>
              </w:rPr>
            </w:pPr>
            <w:r>
              <w:rPr>
                <w:kern w:val="0"/>
                <w:szCs w:val="21"/>
              </w:rPr>
              <w:t>磷的代谢及功能</w:t>
            </w:r>
          </w:p>
        </w:tc>
        <w:tc>
          <w:tcPr>
            <w:tcW w:w="543" w:type="pct"/>
            <w:tcBorders>
              <w:bottom w:val="single" w:color="auto" w:sz="4" w:space="0"/>
            </w:tcBorders>
          </w:tcPr>
          <w:p>
            <w:pPr>
              <w:widowControl/>
              <w:ind w:firstLine="210" w:firstLineChars="100"/>
              <w:jc w:val="left"/>
              <w:outlineLvl w:val="1"/>
              <w:rPr>
                <w:kern w:val="0"/>
                <w:szCs w:val="21"/>
                <w:lang w:eastAsia="zh-Hans"/>
              </w:rPr>
            </w:pPr>
            <w:r>
              <w:rPr>
                <w:kern w:val="0"/>
                <w:szCs w:val="21"/>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000" w:type="pct"/>
            <w:gridSpan w:val="4"/>
            <w:tcBorders>
              <w:top w:val="single" w:color="auto" w:sz="4" w:space="0"/>
              <w:left w:val="nil"/>
              <w:bottom w:val="single" w:color="auto" w:sz="4" w:space="0"/>
              <w:right w:val="nil"/>
            </w:tcBorders>
            <w:shd w:val="clear" w:color="auto" w:fill="auto"/>
            <w:vAlign w:val="center"/>
          </w:tcPr>
          <w:p>
            <w:pPr>
              <w:pStyle w:val="77"/>
            </w:pPr>
            <w:bookmarkStart w:id="13" w:name="_Toc144217048"/>
            <w:r>
              <w:rPr>
                <w:rFonts w:hint="eastAsia"/>
              </w:rPr>
              <w:t>二、生理学</w:t>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702" w:type="dxa"/>
            <w:tcBorders>
              <w:top w:val="single" w:color="auto" w:sz="4" w:space="0"/>
            </w:tcBorders>
            <w:shd w:val="clear" w:color="auto" w:fill="auto"/>
            <w:vAlign w:val="center"/>
          </w:tcPr>
          <w:p>
            <w:pPr>
              <w:widowControl/>
              <w:adjustRightInd w:val="0"/>
              <w:snapToGrid w:val="0"/>
              <w:jc w:val="center"/>
              <w:rPr>
                <w:b/>
                <w:bCs/>
                <w:kern w:val="0"/>
                <w:sz w:val="22"/>
                <w:szCs w:val="22"/>
              </w:rPr>
            </w:pPr>
            <w:r>
              <w:rPr>
                <w:b/>
                <w:bCs/>
                <w:kern w:val="0"/>
                <w:sz w:val="22"/>
              </w:rPr>
              <w:t>单  元</w:t>
            </w:r>
          </w:p>
        </w:tc>
        <w:tc>
          <w:tcPr>
            <w:tcW w:w="2276" w:type="dxa"/>
            <w:tcBorders>
              <w:top w:val="single" w:color="auto" w:sz="4" w:space="0"/>
            </w:tcBorders>
            <w:shd w:val="clear" w:color="auto" w:fill="auto"/>
            <w:vAlign w:val="center"/>
          </w:tcPr>
          <w:p>
            <w:pPr>
              <w:widowControl/>
              <w:adjustRightInd w:val="0"/>
              <w:snapToGrid w:val="0"/>
              <w:jc w:val="center"/>
              <w:rPr>
                <w:b/>
                <w:bCs/>
                <w:kern w:val="0"/>
                <w:sz w:val="22"/>
                <w:szCs w:val="22"/>
              </w:rPr>
            </w:pPr>
            <w:r>
              <w:rPr>
                <w:b/>
                <w:bCs/>
                <w:kern w:val="0"/>
                <w:sz w:val="22"/>
              </w:rPr>
              <w:t>细  目</w:t>
            </w:r>
          </w:p>
        </w:tc>
        <w:tc>
          <w:tcPr>
            <w:tcW w:w="4111" w:type="dxa"/>
            <w:tcBorders>
              <w:top w:val="single" w:color="auto" w:sz="4" w:space="0"/>
            </w:tcBorders>
            <w:shd w:val="clear" w:color="auto" w:fill="auto"/>
            <w:vAlign w:val="center"/>
          </w:tcPr>
          <w:p>
            <w:pPr>
              <w:widowControl/>
              <w:adjustRightInd w:val="0"/>
              <w:snapToGrid w:val="0"/>
              <w:jc w:val="center"/>
              <w:rPr>
                <w:b/>
                <w:bCs/>
                <w:kern w:val="0"/>
                <w:sz w:val="22"/>
                <w:szCs w:val="22"/>
              </w:rPr>
            </w:pPr>
            <w:r>
              <w:rPr>
                <w:b/>
                <w:bCs/>
                <w:kern w:val="0"/>
                <w:sz w:val="22"/>
              </w:rPr>
              <w:t>要  点</w:t>
            </w:r>
          </w:p>
        </w:tc>
        <w:tc>
          <w:tcPr>
            <w:tcW w:w="985" w:type="dxa"/>
            <w:tcBorders>
              <w:top w:val="single" w:color="auto" w:sz="4" w:space="0"/>
            </w:tcBorders>
            <w:shd w:val="clear" w:color="auto" w:fill="auto"/>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一、绪论</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．机体的内环境</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）体液及其分布</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）内环境及其稳态</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．机体生理功能的调节</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）神经调节和体液调节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）反馈：负反馈和正反馈</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二、细胞的基本功能</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．细胞膜的物质转运功能</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）单纯扩散</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）易化扩散</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）主动转运</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）入胞和出胞</w:t>
            </w:r>
          </w:p>
        </w:tc>
        <w:tc>
          <w:tcPr>
            <w:tcW w:w="543" w:type="pct"/>
            <w:shd w:val="clear" w:color="auto" w:fill="auto"/>
            <w:vAlign w:val="center"/>
          </w:tcPr>
          <w:p>
            <w:pPr>
              <w:widowControl/>
              <w:jc w:val="center"/>
              <w:rPr>
                <w:kern w:val="0"/>
                <w:sz w:val="22"/>
                <w:szCs w:val="22"/>
              </w:rPr>
            </w:pPr>
            <w:r>
              <w:rPr>
                <w:rFonts w:hint="eastAsia"/>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．细胞的兴奋性和电活动</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）兴奋性和阈值</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）静息电位和动作电位及其产生原理</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）阈电位</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）兴奋在同一细胞上的传导</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．骨骼肌细胞的收缩功能</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）骨骼肌神经</w:t>
            </w:r>
            <w:r>
              <w:rPr>
                <w:kern w:val="0"/>
                <w:sz w:val="22"/>
                <w:szCs w:val="22"/>
              </w:rPr>
              <w:t>-</w:t>
            </w:r>
            <w:r>
              <w:rPr>
                <w:rFonts w:hint="eastAsia"/>
                <w:kern w:val="0"/>
                <w:sz w:val="22"/>
                <w:szCs w:val="22"/>
              </w:rPr>
              <w:t>肌接头处的兴奋传递及其影响因素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）骨骼肌兴奋</w:t>
            </w:r>
            <w:r>
              <w:rPr>
                <w:kern w:val="0"/>
                <w:sz w:val="22"/>
                <w:szCs w:val="22"/>
              </w:rPr>
              <w:t>-</w:t>
            </w:r>
            <w:r>
              <w:rPr>
                <w:rFonts w:hint="eastAsia"/>
                <w:kern w:val="0"/>
                <w:sz w:val="22"/>
                <w:szCs w:val="22"/>
              </w:rPr>
              <w:t>收缩耦联</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三、血液</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．血液的组成与理化特性</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）血液的组成和血细胞比容</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）血浆与血清、血液的理化特性</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．血细胞</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）红细胞、白细胞和血小板的数量及基本功能</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）造血原料和辅助因子、红细胞生成的调节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．生理性止血和血液凝固</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）生理性止血的基本过程</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）血液凝固的概念和基本步骤</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）主要的生理性抗凝物质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4</w:t>
            </w:r>
            <w:r>
              <w:rPr>
                <w:rFonts w:hint="eastAsia"/>
                <w:kern w:val="0"/>
                <w:sz w:val="22"/>
                <w:szCs w:val="22"/>
              </w:rPr>
              <w:t>．血型和输血原则</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）血型的概念、</w:t>
            </w:r>
            <w:r>
              <w:rPr>
                <w:kern w:val="0"/>
                <w:sz w:val="22"/>
                <w:szCs w:val="22"/>
              </w:rPr>
              <w:t>ABO</w:t>
            </w:r>
            <w:r>
              <w:rPr>
                <w:rFonts w:hint="eastAsia"/>
                <w:kern w:val="0"/>
                <w:sz w:val="22"/>
                <w:szCs w:val="22"/>
              </w:rPr>
              <w:t>血型系统</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）血量和输血原则</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四、血液循环</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．心脏生理</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）心率和心动周期</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）心脏泵血过程中心室容积、压力以及瓣膜的启闭和血流方向的变化</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）心输出量及其影响因素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）心室肌细胞和窦房结起搏细胞的跨膜电位</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5</w:t>
            </w:r>
            <w:r>
              <w:rPr>
                <w:rFonts w:hint="eastAsia"/>
                <w:kern w:val="0"/>
                <w:sz w:val="22"/>
                <w:szCs w:val="22"/>
              </w:rPr>
              <w:t>）心肌细胞的生理特性</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6</w:t>
            </w:r>
            <w:r>
              <w:rPr>
                <w:rFonts w:hint="eastAsia"/>
                <w:kern w:val="0"/>
                <w:sz w:val="22"/>
                <w:szCs w:val="22"/>
              </w:rPr>
              <w:t>）正常心电图</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．血管生理</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）各类血管的功能特征</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）动脉血压的形成及影响因素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3）静脉血压：中心静脉压、静脉回心血量及其影响因素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）组织液的生成与回流及其影响因素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．心血管活动的调节</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）神经调节：支配心脏和血管的神经、颈动脉窦和主动脉弓压力感受性反射</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）体液调节：肾素</w:t>
            </w:r>
            <w:r>
              <w:rPr>
                <w:kern w:val="0"/>
                <w:sz w:val="22"/>
                <w:szCs w:val="22"/>
              </w:rPr>
              <w:t>-</w:t>
            </w:r>
            <w:r>
              <w:rPr>
                <w:rFonts w:hint="eastAsia"/>
                <w:kern w:val="0"/>
                <w:sz w:val="22"/>
                <w:szCs w:val="22"/>
              </w:rPr>
              <w:t>血管紧张素系统、肾上腺素和去甲肾上腺素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shd w:val="clear" w:color="auto" w:fill="auto"/>
            <w:vAlign w:val="center"/>
          </w:tcPr>
          <w:p>
            <w:pPr>
              <w:widowControl/>
              <w:jc w:val="left"/>
              <w:rPr>
                <w:kern w:val="0"/>
                <w:sz w:val="22"/>
                <w:szCs w:val="22"/>
              </w:rPr>
            </w:pPr>
            <w:r>
              <w:rPr>
                <w:kern w:val="0"/>
                <w:sz w:val="22"/>
                <w:szCs w:val="22"/>
              </w:rPr>
              <w:t>4</w:t>
            </w:r>
            <w:r>
              <w:rPr>
                <w:rFonts w:hint="eastAsia"/>
                <w:kern w:val="0"/>
                <w:sz w:val="22"/>
                <w:szCs w:val="22"/>
              </w:rPr>
              <w:t>．冠脉循环</w:t>
            </w:r>
          </w:p>
        </w:tc>
        <w:tc>
          <w:tcPr>
            <w:tcW w:w="2265" w:type="pct"/>
            <w:shd w:val="clear" w:color="auto" w:fill="auto"/>
            <w:vAlign w:val="center"/>
          </w:tcPr>
          <w:p>
            <w:pPr>
              <w:widowControl/>
              <w:jc w:val="left"/>
              <w:rPr>
                <w:kern w:val="0"/>
                <w:sz w:val="22"/>
                <w:szCs w:val="22"/>
              </w:rPr>
            </w:pPr>
            <w:r>
              <w:rPr>
                <w:rFonts w:hint="eastAsia"/>
                <w:kern w:val="0"/>
                <w:sz w:val="22"/>
                <w:szCs w:val="22"/>
              </w:rPr>
              <w:t>冠脉循环的血流特点</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五、呼吸</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．肺的通气功能</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）呼吸及其基本过程</w:t>
            </w:r>
          </w:p>
        </w:tc>
        <w:tc>
          <w:tcPr>
            <w:tcW w:w="543" w:type="pct"/>
            <w:shd w:val="clear" w:color="auto" w:fill="auto"/>
            <w:vAlign w:val="center"/>
          </w:tcPr>
          <w:p>
            <w:pPr>
              <w:widowControl/>
              <w:jc w:val="center"/>
              <w:rPr>
                <w:kern w:val="0"/>
                <w:sz w:val="22"/>
                <w:szCs w:val="22"/>
              </w:rPr>
            </w:pPr>
            <w:r>
              <w:rPr>
                <w:rFonts w:hint="eastAsia"/>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）肺通气原理：肺通气的动力和阻力</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）肺活量与用力呼气量</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）肺通气量与肺泡通气量</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．呼吸气体的交换与运输</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）肺换气</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）氧和二氧化碳在血液中运输的主要形式、氧解离曲线</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．呼吸运动的调节</w:t>
            </w:r>
          </w:p>
        </w:tc>
        <w:tc>
          <w:tcPr>
            <w:tcW w:w="2265" w:type="pct"/>
            <w:shd w:val="clear" w:color="auto" w:fill="auto"/>
            <w:vAlign w:val="center"/>
          </w:tcPr>
          <w:p>
            <w:pPr>
              <w:widowControl/>
              <w:jc w:val="left"/>
              <w:rPr>
                <w:kern w:val="0"/>
                <w:sz w:val="22"/>
                <w:szCs w:val="22"/>
              </w:rPr>
            </w:pPr>
            <w:r>
              <w:rPr>
                <w:rFonts w:hint="eastAsia"/>
                <w:kern w:val="0"/>
                <w:sz w:val="22"/>
                <w:szCs w:val="22"/>
              </w:rPr>
              <w:t>化学因素对呼吸的反射性调节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六、消化和吸收</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．胃内消化</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）胃液的性质、主要成分及其作用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）胃的运动形式、胃排空及其控制</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．小肠内消化</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）胰液和胆汁的性质、主要成分及其作用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）小肠的运动形式</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．吸收</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）小肠作为吸收主要部位的特征</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）小肠内食物主要成分的吸收</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4</w:t>
            </w:r>
            <w:r>
              <w:rPr>
                <w:rFonts w:hint="eastAsia"/>
                <w:kern w:val="0"/>
                <w:sz w:val="22"/>
                <w:szCs w:val="22"/>
              </w:rPr>
              <w:t>．消化器官活动的调节</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）消化道的神经支配及其作用</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）主要胃肠激素及其作用</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七、能量代谢和体温</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．能量代谢</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）能量代谢及其影响因素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）基础代谢率</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．体温</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）体温的概念、正常体温及生理变动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）机体的主要产热器官和散热方式</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八、肾脏的排泄功能</w:t>
            </w:r>
          </w:p>
        </w:tc>
        <w:tc>
          <w:tcPr>
            <w:tcW w:w="1254" w:type="pc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．尿量</w:t>
            </w:r>
          </w:p>
        </w:tc>
        <w:tc>
          <w:tcPr>
            <w:tcW w:w="2265" w:type="pct"/>
            <w:shd w:val="clear" w:color="auto" w:fill="auto"/>
          </w:tcPr>
          <w:p>
            <w:pPr>
              <w:widowControl/>
              <w:jc w:val="left"/>
              <w:rPr>
                <w:kern w:val="0"/>
                <w:sz w:val="22"/>
                <w:szCs w:val="22"/>
              </w:rPr>
            </w:pPr>
            <w:r>
              <w:rPr>
                <w:rFonts w:hint="eastAsia"/>
                <w:kern w:val="0"/>
                <w:sz w:val="22"/>
                <w:szCs w:val="22"/>
              </w:rPr>
              <w:t>正常值以及多尿、少尿和无尿的概念</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．尿生成的基本过程</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）肾小球有效滤过压和肾小球滤过率</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）肾小管和集合管的重吸收和分泌</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．影响和调节尿生成的因素</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）影响肾小球滤过的因素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）渗透性利尿</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）血管升压素与醛固酮对尿生成的调节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九、神经系统的功能</w:t>
            </w:r>
          </w:p>
        </w:tc>
        <w:tc>
          <w:tcPr>
            <w:tcW w:w="1254" w:type="pct"/>
            <w:vMerge w:val="restar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．突触传递</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）突触及其传递过程</w:t>
            </w:r>
          </w:p>
        </w:tc>
        <w:tc>
          <w:tcPr>
            <w:tcW w:w="543" w:type="pct"/>
            <w:shd w:val="clear" w:color="auto" w:fill="auto"/>
            <w:vAlign w:val="center"/>
          </w:tcPr>
          <w:p>
            <w:pPr>
              <w:widowControl/>
              <w:jc w:val="center"/>
              <w:rPr>
                <w:rFonts w:cs="宋体"/>
                <w:kern w:val="0"/>
                <w:sz w:val="22"/>
                <w:szCs w:val="22"/>
              </w:rPr>
            </w:pPr>
            <w:r>
              <w:rPr>
                <w:rFonts w:hint="eastAsia" w:cs="宋体"/>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）兴奋性和抑制性突触后电位</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）中枢兴奋传播的特征</w:t>
            </w:r>
          </w:p>
        </w:tc>
        <w:tc>
          <w:tcPr>
            <w:tcW w:w="543" w:type="pct"/>
            <w:shd w:val="clear" w:color="auto" w:fill="auto"/>
            <w:vAlign w:val="center"/>
          </w:tcPr>
          <w:p>
            <w:pPr>
              <w:widowControl/>
              <w:jc w:val="center"/>
              <w:rPr>
                <w:kern w:val="0"/>
                <w:sz w:val="22"/>
                <w:szCs w:val="22"/>
              </w:rPr>
            </w:pPr>
            <w:r>
              <w:rPr>
                <w:rFonts w:hint="eastAsia"/>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．神经系统的感觉功能</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）感觉传入通路：特异投射系统和非特异投射系统</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）痛觉</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．神经系统对躯体运动的调节</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）骨骼肌牵张反射及其类型</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）基底神经节和小脑对躯体运动的调节功能</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）大脑皮层对躯体运动的调节功能</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4</w:t>
            </w:r>
            <w:r>
              <w:rPr>
                <w:rFonts w:hint="eastAsia"/>
                <w:kern w:val="0"/>
                <w:sz w:val="22"/>
                <w:szCs w:val="22"/>
              </w:rPr>
              <w:t>．神经系统对内脏功能的调节</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）自主神经系统的主要递质、受体与功能</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）脑干和下丘脑的功能</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shd w:val="clear" w:color="auto" w:fill="auto"/>
            <w:vAlign w:val="center"/>
          </w:tcPr>
          <w:p>
            <w:pPr>
              <w:widowControl/>
              <w:jc w:val="left"/>
              <w:rPr>
                <w:kern w:val="0"/>
                <w:sz w:val="22"/>
                <w:szCs w:val="22"/>
              </w:rPr>
            </w:pPr>
            <w:r>
              <w:rPr>
                <w:kern w:val="0"/>
                <w:sz w:val="22"/>
                <w:szCs w:val="22"/>
              </w:rPr>
              <w:t>5</w:t>
            </w:r>
            <w:r>
              <w:rPr>
                <w:rFonts w:hint="eastAsia"/>
                <w:kern w:val="0"/>
                <w:sz w:val="22"/>
                <w:szCs w:val="22"/>
              </w:rPr>
              <w:t>．脑的高级功能</w:t>
            </w:r>
          </w:p>
        </w:tc>
        <w:tc>
          <w:tcPr>
            <w:tcW w:w="2265" w:type="pct"/>
            <w:shd w:val="clear" w:color="auto" w:fill="auto"/>
            <w:vAlign w:val="center"/>
          </w:tcPr>
          <w:p>
            <w:pPr>
              <w:widowControl/>
              <w:jc w:val="left"/>
              <w:rPr>
                <w:kern w:val="0"/>
                <w:sz w:val="22"/>
                <w:szCs w:val="22"/>
              </w:rPr>
            </w:pPr>
            <w:r>
              <w:rPr>
                <w:rFonts w:hint="eastAsia"/>
                <w:kern w:val="0"/>
                <w:sz w:val="22"/>
                <w:szCs w:val="22"/>
              </w:rPr>
              <w:t>条件反射的概念及意义</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十、内分泌</w:t>
            </w:r>
          </w:p>
        </w:tc>
        <w:tc>
          <w:tcPr>
            <w:tcW w:w="1254" w:type="pc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．腺垂体激素</w:t>
            </w:r>
          </w:p>
        </w:tc>
        <w:tc>
          <w:tcPr>
            <w:tcW w:w="2265" w:type="pct"/>
            <w:shd w:val="clear" w:color="auto" w:fill="auto"/>
            <w:vAlign w:val="center"/>
          </w:tcPr>
          <w:p>
            <w:pPr>
              <w:widowControl/>
              <w:jc w:val="left"/>
              <w:rPr>
                <w:kern w:val="0"/>
                <w:sz w:val="22"/>
                <w:szCs w:val="22"/>
              </w:rPr>
            </w:pPr>
            <w:r>
              <w:rPr>
                <w:rFonts w:hint="eastAsia"/>
                <w:kern w:val="0"/>
                <w:sz w:val="22"/>
                <w:szCs w:val="22"/>
              </w:rPr>
              <w:t>生长激素的生理作用及分泌调节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．甲状腺激素</w:t>
            </w:r>
          </w:p>
        </w:tc>
        <w:tc>
          <w:tcPr>
            <w:tcW w:w="2265" w:type="pct"/>
            <w:shd w:val="clear" w:color="auto" w:fill="auto"/>
            <w:vAlign w:val="center"/>
          </w:tcPr>
          <w:p>
            <w:pPr>
              <w:widowControl/>
              <w:jc w:val="left"/>
              <w:rPr>
                <w:kern w:val="0"/>
                <w:sz w:val="22"/>
                <w:szCs w:val="22"/>
              </w:rPr>
            </w:pPr>
            <w:r>
              <w:rPr>
                <w:rFonts w:hint="eastAsia"/>
                <w:kern w:val="0"/>
                <w:sz w:val="22"/>
                <w:szCs w:val="22"/>
              </w:rPr>
              <w:t>生理作用及分泌调节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3</w:t>
            </w:r>
            <w:r>
              <w:rPr>
                <w:rFonts w:hint="eastAsia"/>
                <w:kern w:val="0"/>
                <w:sz w:val="22"/>
                <w:szCs w:val="22"/>
              </w:rPr>
              <w:t>．肾上腺皮质和髓质激素</w:t>
            </w:r>
          </w:p>
        </w:tc>
        <w:tc>
          <w:tcPr>
            <w:tcW w:w="2265" w:type="pct"/>
            <w:shd w:val="clear" w:color="auto" w:fill="auto"/>
          </w:tcPr>
          <w:p>
            <w:pPr>
              <w:rPr>
                <w:rFonts w:cs="宋体"/>
                <w:sz w:val="22"/>
                <w:szCs w:val="22"/>
              </w:rPr>
            </w:pPr>
            <w:r>
              <w:rPr>
                <w:rFonts w:hint="eastAsia"/>
                <w:sz w:val="22"/>
                <w:szCs w:val="22"/>
              </w:rPr>
              <w:t>（1）糖皮质激素的生理作用及分泌调节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shd w:val="clear" w:color="auto" w:fill="auto"/>
            <w:vAlign w:val="center"/>
          </w:tcPr>
          <w:p>
            <w:pPr>
              <w:widowControl/>
              <w:jc w:val="left"/>
              <w:rPr>
                <w:kern w:val="0"/>
                <w:sz w:val="22"/>
                <w:szCs w:val="22"/>
              </w:rPr>
            </w:pPr>
          </w:p>
        </w:tc>
        <w:tc>
          <w:tcPr>
            <w:tcW w:w="2265" w:type="pct"/>
            <w:shd w:val="clear" w:color="auto" w:fill="auto"/>
            <w:vAlign w:val="center"/>
          </w:tcPr>
          <w:p>
            <w:pPr>
              <w:rPr>
                <w:rFonts w:cs="宋体"/>
                <w:sz w:val="22"/>
                <w:szCs w:val="22"/>
              </w:rPr>
            </w:pPr>
            <w:r>
              <w:rPr>
                <w:rFonts w:hint="eastAsia"/>
                <w:sz w:val="22"/>
                <w:szCs w:val="22"/>
              </w:rPr>
              <w:t>（2）肾上腺髓质激素：肾上腺素和去甲肾上腺素</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shd w:val="clear" w:color="auto" w:fill="auto"/>
            <w:vAlign w:val="center"/>
          </w:tcPr>
          <w:p>
            <w:pPr>
              <w:widowControl/>
              <w:jc w:val="left"/>
              <w:rPr>
                <w:kern w:val="0"/>
                <w:sz w:val="22"/>
                <w:szCs w:val="22"/>
              </w:rPr>
            </w:pPr>
            <w:r>
              <w:rPr>
                <w:kern w:val="0"/>
                <w:sz w:val="22"/>
                <w:szCs w:val="22"/>
              </w:rPr>
              <w:t>4</w:t>
            </w:r>
            <w:r>
              <w:rPr>
                <w:rFonts w:hint="eastAsia"/>
                <w:kern w:val="0"/>
                <w:sz w:val="22"/>
                <w:szCs w:val="22"/>
              </w:rPr>
              <w:t>．胰岛素</w:t>
            </w:r>
          </w:p>
        </w:tc>
        <w:tc>
          <w:tcPr>
            <w:tcW w:w="2265" w:type="pct"/>
            <w:shd w:val="clear" w:color="auto" w:fill="auto"/>
            <w:vAlign w:val="center"/>
          </w:tcPr>
          <w:p>
            <w:pPr>
              <w:widowControl/>
              <w:jc w:val="left"/>
              <w:rPr>
                <w:kern w:val="0"/>
                <w:sz w:val="22"/>
                <w:szCs w:val="22"/>
              </w:rPr>
            </w:pPr>
            <w:r>
              <w:rPr>
                <w:rFonts w:hint="eastAsia"/>
                <w:kern w:val="0"/>
                <w:sz w:val="22"/>
                <w:szCs w:val="22"/>
              </w:rPr>
              <w:t>生理作用及分泌调节</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5</w:t>
            </w:r>
            <w:r>
              <w:rPr>
                <w:rFonts w:hint="eastAsia"/>
                <w:kern w:val="0"/>
                <w:sz w:val="22"/>
                <w:szCs w:val="22"/>
              </w:rPr>
              <w:t>．调节钙、磷代谢的激素</w:t>
            </w:r>
          </w:p>
        </w:tc>
        <w:tc>
          <w:tcPr>
            <w:tcW w:w="2265" w:type="pct"/>
            <w:shd w:val="clear" w:color="auto" w:fill="auto"/>
            <w:vAlign w:val="center"/>
          </w:tcPr>
          <w:p>
            <w:pPr>
              <w:widowControl/>
              <w:jc w:val="left"/>
              <w:rPr>
                <w:rFonts w:cs="宋体"/>
                <w:kern w:val="0"/>
                <w:sz w:val="22"/>
                <w:szCs w:val="22"/>
              </w:rPr>
            </w:pPr>
            <w:r>
              <w:rPr>
                <w:rFonts w:hint="eastAsia" w:cs="宋体"/>
                <w:kern w:val="0"/>
                <w:sz w:val="22"/>
                <w:szCs w:val="22"/>
              </w:rPr>
              <w:t>（</w:t>
            </w:r>
            <w:r>
              <w:rPr>
                <w:kern w:val="0"/>
                <w:sz w:val="22"/>
                <w:szCs w:val="22"/>
              </w:rPr>
              <w:t>1</w:t>
            </w:r>
            <w:r>
              <w:rPr>
                <w:rFonts w:hint="eastAsia" w:cs="宋体"/>
                <w:kern w:val="0"/>
                <w:sz w:val="22"/>
                <w:szCs w:val="22"/>
              </w:rPr>
              <w:t>）甲状旁腺激素的生理作用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）降钙素的生理作用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）维生素</w:t>
            </w:r>
            <w:r>
              <w:rPr>
                <w:kern w:val="0"/>
                <w:sz w:val="22"/>
                <w:szCs w:val="22"/>
              </w:rPr>
              <w:t>D</w:t>
            </w:r>
            <w:r>
              <w:rPr>
                <w:kern w:val="0"/>
                <w:sz w:val="22"/>
                <w:szCs w:val="22"/>
                <w:vertAlign w:val="subscript"/>
              </w:rPr>
              <w:t>3</w:t>
            </w:r>
            <w:r>
              <w:rPr>
                <w:rFonts w:hint="eastAsia"/>
                <w:kern w:val="0"/>
                <w:sz w:val="22"/>
                <w:szCs w:val="22"/>
              </w:rPr>
              <w:t>的生理作用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shd w:val="clear" w:color="auto" w:fill="auto"/>
            <w:vAlign w:val="center"/>
          </w:tcPr>
          <w:p>
            <w:pPr>
              <w:widowControl/>
              <w:jc w:val="left"/>
              <w:rPr>
                <w:kern w:val="0"/>
                <w:sz w:val="22"/>
                <w:szCs w:val="22"/>
              </w:rPr>
            </w:pPr>
            <w:r>
              <w:rPr>
                <w:rFonts w:hint="eastAsia"/>
                <w:kern w:val="0"/>
                <w:sz w:val="22"/>
                <w:szCs w:val="22"/>
              </w:rPr>
              <w:t>十一、生殖</w:t>
            </w:r>
          </w:p>
        </w:tc>
        <w:tc>
          <w:tcPr>
            <w:tcW w:w="1254" w:type="pct"/>
            <w:shd w:val="clear" w:color="auto" w:fill="auto"/>
            <w:vAlign w:val="center"/>
          </w:tcPr>
          <w:p>
            <w:pPr>
              <w:widowControl/>
              <w:jc w:val="left"/>
              <w:rPr>
                <w:kern w:val="0"/>
                <w:sz w:val="22"/>
                <w:szCs w:val="22"/>
              </w:rPr>
            </w:pPr>
            <w:r>
              <w:rPr>
                <w:kern w:val="0"/>
                <w:sz w:val="22"/>
                <w:szCs w:val="22"/>
              </w:rPr>
              <w:t>1</w:t>
            </w:r>
            <w:r>
              <w:rPr>
                <w:rFonts w:hint="eastAsia"/>
                <w:kern w:val="0"/>
                <w:sz w:val="22"/>
                <w:szCs w:val="22"/>
              </w:rPr>
              <w:t>．男性生殖</w:t>
            </w:r>
          </w:p>
        </w:tc>
        <w:tc>
          <w:tcPr>
            <w:tcW w:w="2265" w:type="pct"/>
            <w:shd w:val="clear" w:color="auto" w:fill="auto"/>
            <w:vAlign w:val="center"/>
          </w:tcPr>
          <w:p>
            <w:pPr>
              <w:widowControl/>
              <w:jc w:val="left"/>
              <w:rPr>
                <w:kern w:val="0"/>
                <w:sz w:val="22"/>
                <w:szCs w:val="22"/>
              </w:rPr>
            </w:pPr>
            <w:r>
              <w:rPr>
                <w:rFonts w:hint="eastAsia"/>
                <w:kern w:val="0"/>
                <w:sz w:val="22"/>
                <w:szCs w:val="22"/>
              </w:rPr>
              <w:t>雄激素及其生理作用</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restart"/>
            <w:shd w:val="clear" w:color="auto" w:fill="auto"/>
            <w:vAlign w:val="center"/>
          </w:tcPr>
          <w:p>
            <w:pPr>
              <w:widowControl/>
              <w:jc w:val="left"/>
              <w:rPr>
                <w:kern w:val="0"/>
                <w:sz w:val="22"/>
                <w:szCs w:val="22"/>
              </w:rPr>
            </w:pPr>
            <w:r>
              <w:rPr>
                <w:kern w:val="0"/>
                <w:sz w:val="22"/>
                <w:szCs w:val="22"/>
              </w:rPr>
              <w:t>2</w:t>
            </w:r>
            <w:r>
              <w:rPr>
                <w:rFonts w:hint="eastAsia"/>
                <w:kern w:val="0"/>
                <w:sz w:val="22"/>
                <w:szCs w:val="22"/>
              </w:rPr>
              <w:t>．女性生殖</w:t>
            </w: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1</w:t>
            </w:r>
            <w:r>
              <w:rPr>
                <w:rFonts w:hint="eastAsia"/>
                <w:kern w:val="0"/>
                <w:sz w:val="22"/>
                <w:szCs w:val="22"/>
              </w:rPr>
              <w:t>）雌激素、孕激素及其生理作用</w:t>
            </w:r>
          </w:p>
        </w:tc>
        <w:tc>
          <w:tcPr>
            <w:tcW w:w="543" w:type="pct"/>
            <w:shd w:val="clear" w:color="auto" w:fill="auto"/>
            <w:vAlign w:val="center"/>
          </w:tcPr>
          <w:p>
            <w:pPr>
              <w:widowControl/>
              <w:jc w:val="center"/>
              <w:rPr>
                <w:kern w:val="0"/>
                <w:sz w:val="22"/>
                <w:szCs w:val="22"/>
              </w:rPr>
            </w:pPr>
            <w:r>
              <w:rPr>
                <w:rFonts w:hint="eastAsia"/>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2</w:t>
            </w:r>
            <w:r>
              <w:rPr>
                <w:rFonts w:hint="eastAsia"/>
                <w:kern w:val="0"/>
                <w:sz w:val="22"/>
                <w:szCs w:val="22"/>
              </w:rPr>
              <w:t>）卵巢和子宫内膜的周期性变化及其激素的调节</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jc w:val="left"/>
              <w:rPr>
                <w:kern w:val="0"/>
                <w:sz w:val="22"/>
                <w:szCs w:val="22"/>
              </w:rPr>
            </w:pPr>
          </w:p>
        </w:tc>
        <w:tc>
          <w:tcPr>
            <w:tcW w:w="1254" w:type="pct"/>
            <w:vMerge w:val="continue"/>
            <w:vAlign w:val="center"/>
          </w:tcPr>
          <w:p>
            <w:pPr>
              <w:widowControl/>
              <w:jc w:val="left"/>
              <w:rPr>
                <w:kern w:val="0"/>
                <w:sz w:val="22"/>
                <w:szCs w:val="22"/>
              </w:rPr>
            </w:pPr>
          </w:p>
        </w:tc>
        <w:tc>
          <w:tcPr>
            <w:tcW w:w="2265" w:type="pct"/>
            <w:shd w:val="clear" w:color="auto" w:fill="auto"/>
            <w:vAlign w:val="center"/>
          </w:tcPr>
          <w:p>
            <w:pPr>
              <w:widowControl/>
              <w:jc w:val="left"/>
              <w:rPr>
                <w:kern w:val="0"/>
                <w:sz w:val="22"/>
                <w:szCs w:val="22"/>
              </w:rPr>
            </w:pPr>
            <w:r>
              <w:rPr>
                <w:rFonts w:hint="eastAsia"/>
                <w:kern w:val="0"/>
                <w:sz w:val="22"/>
                <w:szCs w:val="22"/>
              </w:rPr>
              <w:t>（</w:t>
            </w:r>
            <w:r>
              <w:rPr>
                <w:kern w:val="0"/>
                <w:sz w:val="22"/>
                <w:szCs w:val="22"/>
              </w:rPr>
              <w:t>3</w:t>
            </w:r>
            <w:r>
              <w:rPr>
                <w:rFonts w:hint="eastAsia"/>
                <w:kern w:val="0"/>
                <w:sz w:val="22"/>
                <w:szCs w:val="22"/>
              </w:rPr>
              <w:t>）女性一生各阶段的生理特点</w:t>
            </w:r>
          </w:p>
        </w:tc>
        <w:tc>
          <w:tcPr>
            <w:tcW w:w="543" w:type="pct"/>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tcBorders>
              <w:bottom w:val="single" w:color="auto" w:sz="4" w:space="0"/>
            </w:tcBorders>
            <w:vAlign w:val="center"/>
          </w:tcPr>
          <w:p>
            <w:pPr>
              <w:widowControl/>
              <w:jc w:val="left"/>
              <w:rPr>
                <w:kern w:val="0"/>
                <w:sz w:val="22"/>
                <w:szCs w:val="22"/>
              </w:rPr>
            </w:pPr>
          </w:p>
        </w:tc>
        <w:tc>
          <w:tcPr>
            <w:tcW w:w="1254" w:type="pct"/>
            <w:vMerge w:val="continue"/>
            <w:tcBorders>
              <w:bottom w:val="single" w:color="auto" w:sz="4" w:space="0"/>
            </w:tcBorders>
            <w:vAlign w:val="center"/>
          </w:tcPr>
          <w:p>
            <w:pPr>
              <w:widowControl/>
              <w:jc w:val="left"/>
              <w:rPr>
                <w:kern w:val="0"/>
                <w:sz w:val="22"/>
                <w:szCs w:val="22"/>
              </w:rPr>
            </w:pPr>
          </w:p>
        </w:tc>
        <w:tc>
          <w:tcPr>
            <w:tcW w:w="2265" w:type="pct"/>
            <w:tcBorders>
              <w:bottom w:val="single" w:color="auto" w:sz="4" w:space="0"/>
            </w:tcBorders>
            <w:shd w:val="clear" w:color="auto" w:fill="auto"/>
            <w:vAlign w:val="center"/>
          </w:tcPr>
          <w:p>
            <w:pPr>
              <w:widowControl/>
              <w:jc w:val="left"/>
              <w:rPr>
                <w:kern w:val="0"/>
                <w:sz w:val="22"/>
                <w:szCs w:val="22"/>
              </w:rPr>
            </w:pPr>
            <w:r>
              <w:rPr>
                <w:rFonts w:hint="eastAsia"/>
                <w:kern w:val="0"/>
                <w:sz w:val="22"/>
                <w:szCs w:val="22"/>
              </w:rPr>
              <w:t>（</w:t>
            </w:r>
            <w:r>
              <w:rPr>
                <w:kern w:val="0"/>
                <w:sz w:val="22"/>
                <w:szCs w:val="22"/>
              </w:rPr>
              <w:t>4</w:t>
            </w:r>
            <w:r>
              <w:rPr>
                <w:rFonts w:hint="eastAsia"/>
                <w:kern w:val="0"/>
                <w:sz w:val="22"/>
                <w:szCs w:val="22"/>
              </w:rPr>
              <w:t>）生殖器其他部位的周期性变化</w:t>
            </w:r>
          </w:p>
        </w:tc>
        <w:tc>
          <w:tcPr>
            <w:tcW w:w="543" w:type="pct"/>
            <w:tcBorders>
              <w:bottom w:val="single" w:color="auto" w:sz="4" w:space="0"/>
            </w:tcBorders>
            <w:shd w:val="clear" w:color="auto" w:fill="auto"/>
            <w:vAlign w:val="center"/>
          </w:tcPr>
          <w:p>
            <w:pPr>
              <w:widowControl/>
              <w:jc w:val="center"/>
              <w:rPr>
                <w:kern w:val="0"/>
                <w:sz w:val="22"/>
                <w:szCs w:val="22"/>
              </w:rPr>
            </w:pPr>
            <w:r>
              <w:rPr>
                <w:rFonts w:hint="eastAsia"/>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00" w:type="pct"/>
            <w:gridSpan w:val="4"/>
            <w:tcBorders>
              <w:top w:val="single" w:color="auto" w:sz="4" w:space="0"/>
              <w:left w:val="nil"/>
              <w:bottom w:val="single" w:color="auto" w:sz="4" w:space="0"/>
              <w:right w:val="nil"/>
            </w:tcBorders>
            <w:vAlign w:val="center"/>
          </w:tcPr>
          <w:p>
            <w:pPr>
              <w:pStyle w:val="77"/>
              <w:rPr>
                <w:sz w:val="24"/>
              </w:rPr>
            </w:pPr>
            <w:bookmarkStart w:id="14" w:name="_Toc142388614"/>
            <w:bookmarkStart w:id="15" w:name="_Toc144217049"/>
            <w:r>
              <w:rPr>
                <w:rFonts w:hint="eastAsia"/>
              </w:rPr>
              <w:t>三、</w:t>
            </w:r>
            <w:r>
              <w:t>药理学</w:t>
            </w:r>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单  元</w:t>
            </w:r>
          </w:p>
        </w:tc>
        <w:tc>
          <w:tcPr>
            <w:tcW w:w="2276" w:type="dxa"/>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细  目</w:t>
            </w:r>
          </w:p>
        </w:tc>
        <w:tc>
          <w:tcPr>
            <w:tcW w:w="4111" w:type="dxa"/>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要  点</w:t>
            </w:r>
          </w:p>
        </w:tc>
        <w:tc>
          <w:tcPr>
            <w:tcW w:w="985" w:type="dxa"/>
            <w:tcBorders>
              <w:top w:val="single" w:color="auto" w:sz="4" w:space="0"/>
              <w:bottom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一、总论</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．药物效应动力学</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）药物作用和治疗效果</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）副作用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）毒性反应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）超敏反应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5</w:t>
            </w:r>
            <w:r>
              <w:rPr>
                <w:rFonts w:hint="eastAsia"/>
                <w:color w:val="000000"/>
                <w:kern w:val="0"/>
                <w:sz w:val="22"/>
                <w:szCs w:val="22"/>
              </w:rPr>
              <w:t>）停药反应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．药物代谢动力学</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）首关消除</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）肝肠循环</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）稳态血浆药物浓度</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）半衰期</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5</w:t>
            </w:r>
            <w:r>
              <w:rPr>
                <w:rFonts w:hint="eastAsia"/>
                <w:color w:val="000000"/>
                <w:kern w:val="0"/>
                <w:sz w:val="22"/>
                <w:szCs w:val="22"/>
              </w:rPr>
              <w:t>）生物利用度</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二、传出神经系统药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．胆碱受体激动药与胆碱酯酶抑制药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）毛果芸香碱的药理作用及临床应用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）新斯的明的临床应用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）有机磷酸酯类的中毒机制及中毒解救</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．胆碱受体阻断药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阿托品的药理作用、临床应用及不良反应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3</w:t>
            </w:r>
            <w:r>
              <w:rPr>
                <w:rFonts w:hint="eastAsia"/>
                <w:color w:val="000000"/>
                <w:kern w:val="0"/>
                <w:sz w:val="22"/>
                <w:szCs w:val="22"/>
              </w:rPr>
              <w:t>．肾上腺素受体激动药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）去甲肾上腺素的药理作用、临床应用及不良反应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）肾上腺素的药理作用、临床应用及不良反应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）多巴胺的药理作用、临床应用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）异丙肾上腺素的药理作用、临床应用及不良反应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4</w:t>
            </w:r>
            <w:r>
              <w:rPr>
                <w:rFonts w:hint="eastAsia"/>
                <w:color w:val="000000"/>
                <w:kern w:val="0"/>
                <w:sz w:val="22"/>
                <w:szCs w:val="22"/>
              </w:rPr>
              <w:t>．肾上腺素受体阻断药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）酚妥拉明的药理作用、临床应用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）普萘洛尔的药理作用及不良反应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）美托洛尔的药理作用、临床应用及不良反应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三、局部麻醉药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．局部麻醉药的共性</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）局部麻醉药的作用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）局部麻醉药的应用方法</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）局部麻醉药的不良反应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．常用药物</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）普鲁卡因的药理作用及临床应用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）利多卡因的药理作用及临床应用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四、中枢神经系统药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．镇静催眠药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）地西泮的药理作用、临床应用及不良反应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）艾司唑仑的药理作用、临床应用及特点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．抗癫痫药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）苯妥英钠的药理作用、临床应用及不良反应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）卡马西平的药理作用及临床应用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）丙戊酸钠的药理作用及临床应用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3</w:t>
            </w:r>
            <w:r>
              <w:rPr>
                <w:rFonts w:hint="eastAsia"/>
                <w:color w:val="000000"/>
                <w:kern w:val="0"/>
                <w:sz w:val="22"/>
                <w:szCs w:val="22"/>
              </w:rPr>
              <w:t>．抗精神失常药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）抗精神分裂症药的药理作用及临床应用及不良反应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）抗抑郁药的药理作用、临床应用及不良反应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）抗躁狂药的临床应用和不良反应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4</w:t>
            </w:r>
            <w:r>
              <w:rPr>
                <w:rFonts w:hint="eastAsia"/>
                <w:color w:val="000000"/>
                <w:kern w:val="0"/>
                <w:sz w:val="22"/>
                <w:szCs w:val="22"/>
              </w:rPr>
              <w:t>．镇痛药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）吗啡的药理作用、临床应用及不良反应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）哌替啶的药理作用、临床应用及不良反应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）纳洛酮的药理作用及临床应用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5</w:t>
            </w:r>
            <w:r>
              <w:rPr>
                <w:rFonts w:hint="eastAsia"/>
                <w:color w:val="000000"/>
                <w:kern w:val="0"/>
                <w:sz w:val="22"/>
                <w:szCs w:val="22"/>
              </w:rPr>
              <w:t>．解热镇痛抗炎药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）解热镇痛药的抗炎、镇痛、解热的作用机制、药理作用和常见不良反应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）阿司匹林的药理作用、临床应用及不良反应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）布洛芬的药理作用及临床应用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）对乙酰氨基酚的药理作用、临床应用及不良反应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5</w:t>
            </w:r>
            <w:r>
              <w:rPr>
                <w:rFonts w:hint="eastAsia"/>
                <w:color w:val="000000"/>
                <w:kern w:val="0"/>
                <w:sz w:val="22"/>
                <w:szCs w:val="22"/>
              </w:rPr>
              <w:t>）塞来昔布的药理作用机制、临床应用及不良反应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五、心血管系统药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．抗高血压药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）氨氯地平的药理作用及临床应用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）卡托普利的药理作用及临床应用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）氯沙坦的药理作用及临床应用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．抗心绞痛药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）硝酸甘油的药理作用及临床应用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）普萘洛尔的药理作用及临床应用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）硝苯地平的药理作用及临床应用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3</w:t>
            </w:r>
            <w:r>
              <w:rPr>
                <w:rFonts w:hint="eastAsia"/>
                <w:color w:val="000000"/>
                <w:kern w:val="0"/>
                <w:sz w:val="22"/>
                <w:szCs w:val="22"/>
              </w:rPr>
              <w:t>．调血脂药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）他汀类药物的药理作用、临床应用及不良反应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）他汀类药物的常用药物名称</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4</w:t>
            </w:r>
            <w:r>
              <w:rPr>
                <w:rFonts w:hint="eastAsia"/>
                <w:color w:val="000000"/>
                <w:kern w:val="0"/>
                <w:sz w:val="22"/>
                <w:szCs w:val="22"/>
              </w:rPr>
              <w:t>．抗心律失常药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）利多卡因的药理作用及临床应用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）胺碘酮的药理作用及临床应用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5</w:t>
            </w:r>
            <w:r>
              <w:rPr>
                <w:rFonts w:hint="eastAsia"/>
                <w:color w:val="000000"/>
                <w:kern w:val="0"/>
                <w:sz w:val="22"/>
                <w:szCs w:val="22"/>
              </w:rPr>
              <w:t>．抗慢性心功能不全药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）卡托普利的药理作用及临床应用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）普萘洛尔的临床应用及注意事项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）地高辛的药理作用、临床应用、不良反应与防治</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六、利尿药与脱水药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．利尿药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）呋塞米的药理作用、临床应用及不良反应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）氢氯噻嗪的药理作用、临床应用及不良反应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）螺内酯的药理作用、临床应用及不良反应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．脱水药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甘露醇的药理作用及临床应用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七、抗过敏药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H</w:t>
            </w:r>
            <w:r>
              <w:rPr>
                <w:rFonts w:hint="eastAsia" w:ascii="Batang" w:hAnsi="Batang" w:eastAsia="Batang"/>
                <w:color w:val="000000"/>
                <w:kern w:val="0"/>
                <w:sz w:val="22"/>
                <w:szCs w:val="22"/>
                <w:vertAlign w:val="subscript"/>
              </w:rPr>
              <w:t>₁</w:t>
            </w:r>
            <w:r>
              <w:rPr>
                <w:rFonts w:hint="eastAsia"/>
                <w:color w:val="000000"/>
                <w:kern w:val="0"/>
                <w:sz w:val="22"/>
                <w:szCs w:val="22"/>
              </w:rPr>
              <w:t>受体阻断药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）氯苯那敏的药理作用及临床应用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）氯雷他定的药理作用及临床应用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八、呼吸系统药</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．平喘药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）氨茶碱的药理作用、作用机制及临床应用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）特布他林的药理作用、作用机制及临床应用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）异丙托溴铵、噻托溴铵的药理作用及临床应用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2</w:t>
            </w:r>
            <w:r>
              <w:rPr>
                <w:rFonts w:hint="eastAsia"/>
                <w:color w:val="000000"/>
                <w:kern w:val="0"/>
                <w:sz w:val="22"/>
                <w:szCs w:val="22"/>
              </w:rPr>
              <w:t>．镇咳药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）可待因的药理作用及临床应用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）右美沙芬的药理作用及临床应用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3</w:t>
            </w:r>
            <w:r>
              <w:rPr>
                <w:rFonts w:hint="eastAsia"/>
                <w:color w:val="000000"/>
                <w:kern w:val="0"/>
                <w:sz w:val="22"/>
                <w:szCs w:val="22"/>
              </w:rPr>
              <w:t>．祛痰药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）氨溴索的药理作用及临床应用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w:t>
            </w:r>
            <w:r>
              <w:rPr>
                <w:color w:val="000000"/>
                <w:kern w:val="0"/>
                <w:sz w:val="22"/>
                <w:szCs w:val="22"/>
              </w:rPr>
              <w:t>N-</w:t>
            </w:r>
            <w:r>
              <w:rPr>
                <w:rFonts w:hint="eastAsia"/>
                <w:color w:val="000000"/>
                <w:kern w:val="0"/>
                <w:sz w:val="22"/>
                <w:szCs w:val="22"/>
              </w:rPr>
              <w:t>乙酰半胱氨酸的药理作用及临床应用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rFonts w:hint="eastAsia"/>
                <w:color w:val="000000"/>
                <w:kern w:val="0"/>
                <w:sz w:val="22"/>
                <w:szCs w:val="22"/>
              </w:rPr>
              <w:t>九、消化系统药</w:t>
            </w:r>
          </w:p>
        </w:tc>
        <w:tc>
          <w:tcPr>
            <w:tcW w:w="1254" w:type="pct"/>
            <w:vMerge w:val="restar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1</w:t>
            </w:r>
            <w:r>
              <w:rPr>
                <w:rFonts w:hint="eastAsia"/>
                <w:color w:val="000000"/>
                <w:kern w:val="0"/>
                <w:sz w:val="22"/>
                <w:szCs w:val="22"/>
              </w:rPr>
              <w:t>．抗消化性溃疡药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w:t>
            </w:r>
            <w:r>
              <w:rPr>
                <w:color w:val="000000"/>
                <w:kern w:val="0"/>
                <w:sz w:val="22"/>
                <w:szCs w:val="22"/>
              </w:rPr>
              <w:t>H₂</w:t>
            </w:r>
            <w:r>
              <w:rPr>
                <w:rFonts w:hint="eastAsia"/>
                <w:color w:val="000000"/>
                <w:kern w:val="0"/>
                <w:sz w:val="22"/>
                <w:szCs w:val="22"/>
              </w:rPr>
              <w:t>受体阻断药的代表药物及药理作用、临床应用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）质子泵抑制剂的代表药物及药理作用、临床应用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）胃黏膜保护药的代表药物及药理作用及临床应用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2</w:t>
            </w:r>
            <w:r>
              <w:rPr>
                <w:rFonts w:hint="eastAsia"/>
                <w:color w:val="000000"/>
                <w:kern w:val="0"/>
                <w:sz w:val="22"/>
                <w:szCs w:val="22"/>
              </w:rPr>
              <w:t>．消化系统功能调节药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常用药物的药理作用及临床应用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rFonts w:hint="eastAsia"/>
                <w:color w:val="000000"/>
                <w:kern w:val="0"/>
                <w:sz w:val="22"/>
                <w:szCs w:val="22"/>
              </w:rPr>
              <w:t>十、子宫平滑肌收缩药</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rFonts w:hint="eastAsia"/>
                <w:color w:val="000000"/>
                <w:kern w:val="0"/>
                <w:sz w:val="22"/>
                <w:szCs w:val="22"/>
              </w:rPr>
              <w:t>常用药物</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）缩宫素的药理作用、临床应用、不良反应及注意事项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）麦角新碱的药理作用、临床应用、不良反应及注意事项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rFonts w:hint="eastAsia"/>
                <w:color w:val="000000"/>
                <w:kern w:val="0"/>
                <w:sz w:val="22"/>
                <w:szCs w:val="22"/>
              </w:rPr>
              <w:t>十一、血液和造血系统药</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1</w:t>
            </w:r>
            <w:r>
              <w:rPr>
                <w:rFonts w:hint="eastAsia"/>
                <w:color w:val="000000"/>
                <w:kern w:val="0"/>
                <w:sz w:val="22"/>
                <w:szCs w:val="22"/>
              </w:rPr>
              <w:t>．抗贫血药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）铁制剂的药理作用、临床应用、不良反应及注意事项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）叶酸的药理作用及临床应用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）维生素</w:t>
            </w:r>
            <w:r>
              <w:rPr>
                <w:color w:val="000000"/>
                <w:kern w:val="0"/>
                <w:sz w:val="22"/>
                <w:szCs w:val="22"/>
              </w:rPr>
              <w:t>B</w:t>
            </w:r>
            <w:r>
              <w:rPr>
                <w:color w:val="000000"/>
                <w:kern w:val="0"/>
                <w:sz w:val="22"/>
                <w:szCs w:val="22"/>
                <w:vertAlign w:val="subscript"/>
              </w:rPr>
              <w:t>12</w:t>
            </w:r>
            <w:r>
              <w:rPr>
                <w:rFonts w:hint="eastAsia"/>
                <w:color w:val="000000"/>
                <w:kern w:val="0"/>
                <w:sz w:val="22"/>
                <w:szCs w:val="22"/>
              </w:rPr>
              <w:t>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2</w:t>
            </w:r>
            <w:r>
              <w:rPr>
                <w:rFonts w:hint="eastAsia"/>
                <w:color w:val="000000"/>
                <w:kern w:val="0"/>
                <w:sz w:val="22"/>
                <w:szCs w:val="22"/>
              </w:rPr>
              <w:t>．影响凝血过程药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）维生素</w:t>
            </w:r>
            <w:r>
              <w:rPr>
                <w:color w:val="000000"/>
                <w:kern w:val="0"/>
                <w:sz w:val="22"/>
                <w:szCs w:val="22"/>
              </w:rPr>
              <w:t>K</w:t>
            </w:r>
            <w:r>
              <w:rPr>
                <w:rFonts w:hint="eastAsia"/>
                <w:color w:val="000000"/>
                <w:kern w:val="0"/>
                <w:sz w:val="22"/>
                <w:szCs w:val="22"/>
              </w:rPr>
              <w:t>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）阿司匹林的药理作用及临床应用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）肝素的药理作用及临床应用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rFonts w:hint="eastAsia"/>
                <w:color w:val="000000"/>
                <w:kern w:val="0"/>
                <w:sz w:val="22"/>
                <w:szCs w:val="22"/>
              </w:rPr>
              <w:t>十二、激素类药及降血糖药</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1</w:t>
            </w:r>
            <w:r>
              <w:rPr>
                <w:rFonts w:hint="eastAsia"/>
                <w:color w:val="000000"/>
                <w:kern w:val="0"/>
                <w:sz w:val="22"/>
                <w:szCs w:val="22"/>
              </w:rPr>
              <w:t>．糖皮质激素类药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）药理作用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）常用药物及临床应用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）不良反应及禁忌证</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2</w:t>
            </w:r>
            <w:r>
              <w:rPr>
                <w:rFonts w:hint="eastAsia"/>
                <w:color w:val="000000"/>
                <w:kern w:val="0"/>
                <w:sz w:val="22"/>
                <w:szCs w:val="22"/>
              </w:rPr>
              <w:t>．胰岛素及其他降血糖药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）胰岛素的药理作用及临床应用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）双胍类药物的药理作用及临床应用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）磺酰脲类药物的药理作用及临床应用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w:t>
            </w:r>
            <w:r>
              <w:rPr>
                <w:color w:val="000000"/>
                <w:kern w:val="0"/>
                <w:sz w:val="22"/>
                <w:szCs w:val="22"/>
              </w:rPr>
              <w:t>α-</w:t>
            </w:r>
            <w:r>
              <w:rPr>
                <w:rFonts w:hint="eastAsia"/>
                <w:color w:val="000000"/>
                <w:kern w:val="0"/>
                <w:sz w:val="22"/>
                <w:szCs w:val="22"/>
              </w:rPr>
              <w:t>葡萄糖苷酶抑制剂的药理作用及临床应用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3</w:t>
            </w:r>
            <w:r>
              <w:rPr>
                <w:rFonts w:hint="eastAsia"/>
                <w:color w:val="000000"/>
                <w:kern w:val="0"/>
                <w:sz w:val="22"/>
                <w:szCs w:val="22"/>
              </w:rPr>
              <w:t>．甲状腺激素及抗甲状腺药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）甲状腺激素的药理作用、临床应用及不良反应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）硫脲类的药理作用、临床应用及不良反应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）碘及碘化物的药理作用、临床应用及不良反应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rFonts w:hint="eastAsia"/>
                <w:color w:val="000000"/>
                <w:kern w:val="0"/>
                <w:sz w:val="22"/>
                <w:szCs w:val="22"/>
              </w:rPr>
              <w:t>十三、抗微生物药</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1</w:t>
            </w:r>
            <w:r>
              <w:rPr>
                <w:rFonts w:hint="eastAsia"/>
                <w:color w:val="000000"/>
                <w:kern w:val="0"/>
                <w:sz w:val="22"/>
                <w:szCs w:val="22"/>
              </w:rPr>
              <w:t>．抗生素</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）青霉素</w:t>
            </w:r>
            <w:r>
              <w:rPr>
                <w:color w:val="000000"/>
                <w:kern w:val="0"/>
                <w:sz w:val="22"/>
                <w:szCs w:val="22"/>
              </w:rPr>
              <w:t>G</w:t>
            </w:r>
            <w:r>
              <w:rPr>
                <w:rFonts w:hint="eastAsia"/>
                <w:color w:val="000000"/>
                <w:kern w:val="0"/>
                <w:sz w:val="22"/>
                <w:szCs w:val="22"/>
              </w:rPr>
              <w:t>的抗菌作用、临床应用及不良反应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）氨苄西林的抗菌作用及临床应用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）阿莫西林的抗菌作用及临床应用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）头孢噻肟的抗菌作用及临床应用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5</w:t>
            </w:r>
            <w:r>
              <w:rPr>
                <w:rFonts w:hint="eastAsia"/>
                <w:color w:val="000000"/>
                <w:kern w:val="0"/>
                <w:sz w:val="22"/>
                <w:szCs w:val="22"/>
              </w:rPr>
              <w:t>）红霉素的抗菌作用及临床应用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6</w:t>
            </w:r>
            <w:r>
              <w:rPr>
                <w:rFonts w:hint="eastAsia"/>
                <w:color w:val="000000"/>
                <w:kern w:val="0"/>
                <w:sz w:val="22"/>
                <w:szCs w:val="22"/>
              </w:rPr>
              <w:t>）阿奇霉素的抗菌作用和临床应用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7</w:t>
            </w:r>
            <w:r>
              <w:rPr>
                <w:rFonts w:hint="eastAsia"/>
                <w:color w:val="000000"/>
                <w:kern w:val="0"/>
                <w:sz w:val="22"/>
                <w:szCs w:val="22"/>
              </w:rPr>
              <w:t>）克林霉素的抗菌作用及临床应用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8</w:t>
            </w:r>
            <w:r>
              <w:rPr>
                <w:rFonts w:hint="eastAsia"/>
                <w:color w:val="000000"/>
                <w:kern w:val="0"/>
                <w:sz w:val="22"/>
                <w:szCs w:val="22"/>
              </w:rPr>
              <w:t>）庆大霉素的抗菌作用及临床应用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9</w:t>
            </w:r>
            <w:r>
              <w:rPr>
                <w:rFonts w:hint="eastAsia"/>
                <w:color w:val="000000"/>
                <w:kern w:val="0"/>
                <w:sz w:val="22"/>
                <w:szCs w:val="22"/>
              </w:rPr>
              <w:t>）妥布霉素的抗菌作用及临床应用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10</w:t>
            </w:r>
            <w:r>
              <w:rPr>
                <w:rFonts w:hint="eastAsia"/>
                <w:color w:val="000000"/>
                <w:kern w:val="0"/>
                <w:sz w:val="22"/>
                <w:szCs w:val="22"/>
              </w:rPr>
              <w:t>）阿米卡星的抗菌作用及临床应用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11</w:t>
            </w:r>
            <w:r>
              <w:rPr>
                <w:rFonts w:hint="eastAsia"/>
                <w:color w:val="000000"/>
                <w:kern w:val="0"/>
                <w:sz w:val="22"/>
                <w:szCs w:val="22"/>
              </w:rPr>
              <w:t>）多西环素的抗菌作用及临床应用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12</w:t>
            </w:r>
            <w:r>
              <w:rPr>
                <w:rFonts w:hint="eastAsia"/>
                <w:color w:val="000000"/>
                <w:kern w:val="0"/>
                <w:sz w:val="22"/>
                <w:szCs w:val="22"/>
              </w:rPr>
              <w:t>）米诺环素的抗菌作用及临床应用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2</w:t>
            </w:r>
            <w:r>
              <w:rPr>
                <w:rFonts w:hint="eastAsia"/>
                <w:color w:val="000000"/>
                <w:kern w:val="0"/>
                <w:sz w:val="22"/>
                <w:szCs w:val="22"/>
              </w:rPr>
              <w:t>．人工合成抗菌药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）环丙沙星的抗菌作用及临床应用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）左氧氟沙星的抗菌作用及临床应用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）磺胺嘧啶、磺胺甲噁唑及复方新诺明的临床应用及不良反应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）甲硝唑的药理作用及临床应用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3</w:t>
            </w:r>
            <w:r>
              <w:rPr>
                <w:rFonts w:hint="eastAsia"/>
                <w:color w:val="000000"/>
                <w:kern w:val="0"/>
                <w:sz w:val="22"/>
                <w:szCs w:val="22"/>
              </w:rPr>
              <w:t>．用药原则</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抗菌药合理应用的基本原则</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4</w:t>
            </w:r>
            <w:r>
              <w:rPr>
                <w:rFonts w:hint="eastAsia"/>
                <w:color w:val="000000"/>
                <w:kern w:val="0"/>
                <w:sz w:val="22"/>
                <w:szCs w:val="22"/>
              </w:rPr>
              <w:t>．抗结核病药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）异烟肼的药理作用、临床应用及药物相互作用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）利福平的药理作用、临床应用及药物相互作用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）乙胺丁醇的药理作用及临床应用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r>
              <w:rPr>
                <w:color w:val="000000"/>
                <w:kern w:val="0"/>
                <w:sz w:val="22"/>
                <w:szCs w:val="22"/>
              </w:rPr>
              <w:t>5</w:t>
            </w:r>
            <w:r>
              <w:rPr>
                <w:rFonts w:hint="eastAsia"/>
                <w:color w:val="000000"/>
                <w:kern w:val="0"/>
                <w:sz w:val="22"/>
                <w:szCs w:val="22"/>
              </w:rPr>
              <w:t>．抗真菌药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氟康唑的药理作用及临床应用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6</w:t>
            </w:r>
            <w:r>
              <w:rPr>
                <w:rFonts w:hint="eastAsia"/>
                <w:color w:val="000000"/>
                <w:kern w:val="0"/>
                <w:sz w:val="22"/>
                <w:szCs w:val="22"/>
              </w:rPr>
              <w:t>．抗病毒药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）利巴韦林的药理作用及临床应用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）阿昔洛韦的药理作用及临床应用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restart"/>
            <w:tcBorders>
              <w:top w:val="single" w:color="auto" w:sz="4" w:space="0"/>
              <w:left w:val="single" w:color="auto" w:sz="4" w:space="0"/>
              <w:right w:val="single" w:color="auto" w:sz="4" w:space="0"/>
            </w:tcBorders>
            <w:vAlign w:val="center"/>
          </w:tcPr>
          <w:p>
            <w:pPr>
              <w:widowControl/>
              <w:jc w:val="left"/>
              <w:rPr>
                <w:kern w:val="0"/>
                <w:sz w:val="22"/>
              </w:rPr>
            </w:pPr>
            <w:r>
              <w:rPr>
                <w:rFonts w:hint="eastAsia"/>
                <w:color w:val="000000"/>
                <w:kern w:val="0"/>
                <w:sz w:val="22"/>
                <w:szCs w:val="22"/>
              </w:rPr>
              <w:t>十四、抗寄生虫药</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r>
              <w:rPr>
                <w:color w:val="000000"/>
                <w:kern w:val="0"/>
                <w:sz w:val="22"/>
                <w:szCs w:val="22"/>
              </w:rPr>
              <w:t>1</w:t>
            </w:r>
            <w:r>
              <w:rPr>
                <w:rFonts w:hint="eastAsia"/>
                <w:color w:val="000000"/>
                <w:kern w:val="0"/>
                <w:sz w:val="22"/>
                <w:szCs w:val="22"/>
              </w:rPr>
              <w:t>．抗疟药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）氯喹的药理作用及临床应用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left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）青蒿素的药理作用及临床应用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left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）伯氨喹的药理作用、临床应用及不良反应</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left w:val="single" w:color="auto" w:sz="4" w:space="0"/>
              <w:right w:val="single" w:color="auto" w:sz="4" w:space="0"/>
            </w:tcBorders>
            <w:vAlign w:val="center"/>
          </w:tcPr>
          <w:p>
            <w:pPr>
              <w:widowControl/>
              <w:jc w:val="left"/>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4</w:t>
            </w:r>
            <w:r>
              <w:rPr>
                <w:rFonts w:hint="eastAsia"/>
                <w:color w:val="000000"/>
                <w:kern w:val="0"/>
                <w:sz w:val="22"/>
                <w:szCs w:val="22"/>
              </w:rPr>
              <w:t>）乙胺嘧啶的药理作用及临床应用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left w:val="single" w:color="auto" w:sz="4" w:space="0"/>
              <w:right w:val="single" w:color="auto" w:sz="4" w:space="0"/>
            </w:tcBorders>
            <w:vAlign w:val="center"/>
          </w:tcPr>
          <w:p>
            <w:pPr>
              <w:widowControl/>
              <w:jc w:val="left"/>
              <w:rPr>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rPr>
                <w:kern w:val="0"/>
                <w:sz w:val="22"/>
              </w:rPr>
            </w:pPr>
            <w:r>
              <w:rPr>
                <w:color w:val="000000"/>
                <w:kern w:val="0"/>
                <w:sz w:val="22"/>
                <w:szCs w:val="22"/>
              </w:rPr>
              <w:t>2</w:t>
            </w:r>
            <w:r>
              <w:rPr>
                <w:rFonts w:hint="eastAsia"/>
                <w:color w:val="000000"/>
                <w:kern w:val="0"/>
                <w:sz w:val="22"/>
                <w:szCs w:val="22"/>
              </w:rPr>
              <w:t>．抗肠虫药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1</w:t>
            </w:r>
            <w:r>
              <w:rPr>
                <w:rFonts w:hint="eastAsia"/>
                <w:color w:val="000000"/>
                <w:kern w:val="0"/>
                <w:sz w:val="22"/>
                <w:szCs w:val="22"/>
              </w:rPr>
              <w:t>）阿苯达唑的药理作用及临床应用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left w:val="single" w:color="auto" w:sz="4" w:space="0"/>
              <w:right w:val="single" w:color="auto" w:sz="4" w:space="0"/>
            </w:tcBorders>
            <w:vAlign w:val="center"/>
          </w:tcPr>
          <w:p>
            <w:pPr>
              <w:widowControl/>
              <w:jc w:val="left"/>
              <w:rPr>
                <w:kern w:val="0"/>
                <w:sz w:val="22"/>
              </w:rPr>
            </w:pPr>
          </w:p>
        </w:tc>
        <w:tc>
          <w:tcPr>
            <w:tcW w:w="1254" w:type="pct"/>
            <w:vMerge w:val="continue"/>
            <w:tcBorders>
              <w:left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kern w:val="0"/>
                <w:sz w:val="22"/>
              </w:rPr>
            </w:pPr>
            <w:r>
              <w:rPr>
                <w:rFonts w:hint="eastAsia"/>
                <w:color w:val="000000"/>
                <w:kern w:val="0"/>
                <w:sz w:val="22"/>
                <w:szCs w:val="22"/>
              </w:rPr>
              <w:t>（</w:t>
            </w:r>
            <w:r>
              <w:rPr>
                <w:color w:val="000000"/>
                <w:kern w:val="0"/>
                <w:sz w:val="22"/>
                <w:szCs w:val="22"/>
              </w:rPr>
              <w:t>2</w:t>
            </w:r>
            <w:r>
              <w:rPr>
                <w:rFonts w:hint="eastAsia"/>
                <w:color w:val="000000"/>
                <w:kern w:val="0"/>
                <w:sz w:val="22"/>
                <w:szCs w:val="22"/>
              </w:rPr>
              <w:t>）噻嘧啶的药理作用及临床应用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kern w:val="0"/>
                <w:sz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938" w:type="pct"/>
            <w:vMerge w:val="continue"/>
            <w:tcBorders>
              <w:left w:val="single" w:color="auto" w:sz="4" w:space="0"/>
              <w:bottom w:val="single" w:color="auto" w:sz="4" w:space="0"/>
              <w:right w:val="single" w:color="auto" w:sz="4" w:space="0"/>
            </w:tcBorders>
            <w:vAlign w:val="center"/>
          </w:tcPr>
          <w:p>
            <w:pPr>
              <w:widowControl/>
              <w:jc w:val="left"/>
              <w:rPr>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color w:val="000000"/>
                <w:kern w:val="0"/>
                <w:sz w:val="22"/>
                <w:szCs w:val="22"/>
              </w:rPr>
              <w:t>（</w:t>
            </w:r>
            <w:r>
              <w:rPr>
                <w:color w:val="000000"/>
                <w:kern w:val="0"/>
                <w:sz w:val="22"/>
                <w:szCs w:val="22"/>
              </w:rPr>
              <w:t>3</w:t>
            </w:r>
            <w:r>
              <w:rPr>
                <w:rFonts w:hint="eastAsia"/>
                <w:color w:val="000000"/>
                <w:kern w:val="0"/>
                <w:sz w:val="22"/>
                <w:szCs w:val="22"/>
              </w:rPr>
              <w:t>）吡喹酮的药理作用及临床应用</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 w:val="22"/>
                <w:szCs w:val="22"/>
              </w:rPr>
            </w:pPr>
            <w:r>
              <w:rPr>
                <w:rFonts w:hint="eastAsia"/>
                <w:color w:val="000000"/>
                <w:kern w:val="0"/>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000" w:type="pct"/>
            <w:gridSpan w:val="4"/>
            <w:tcBorders>
              <w:top w:val="single" w:color="auto" w:sz="4" w:space="0"/>
            </w:tcBorders>
            <w:vAlign w:val="center"/>
          </w:tcPr>
          <w:p>
            <w:pPr>
              <w:pStyle w:val="76"/>
            </w:pPr>
            <w:bookmarkStart w:id="16" w:name="_Toc142388619"/>
            <w:bookmarkStart w:id="17" w:name="_Toc144217050"/>
            <w:r>
              <w:t>第三部分 临床医学综合</w:t>
            </w:r>
            <w:bookmarkEnd w:id="16"/>
            <w:bookmarkEnd w:id="1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000" w:type="pct"/>
            <w:gridSpan w:val="4"/>
            <w:tcBorders>
              <w:bottom w:val="single" w:color="auto" w:sz="4" w:space="0"/>
            </w:tcBorders>
            <w:vAlign w:val="center"/>
          </w:tcPr>
          <w:p>
            <w:pPr>
              <w:widowControl/>
              <w:ind w:firstLine="440" w:firstLineChars="200"/>
              <w:jc w:val="left"/>
              <w:rPr>
                <w:kern w:val="0"/>
                <w:sz w:val="22"/>
              </w:rPr>
            </w:pPr>
            <w:r>
              <w:rPr>
                <w:rFonts w:hint="eastAsia"/>
                <w:kern w:val="0"/>
                <w:sz w:val="22"/>
                <w:szCs w:val="22"/>
              </w:rPr>
              <w:t>主要包括公共卫生执业助理医师必须掌握的临床理论与知识，考核内容按器官系统进行编排，适当融入基础医学和医学人文学科知识。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top w:val="single" w:color="auto" w:sz="4" w:space="0"/>
              <w:bottom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79"/>
              <w:rPr>
                <w:rFonts w:eastAsia="等线"/>
              </w:rPr>
            </w:pPr>
            <w:bookmarkStart w:id="18" w:name="_Toc144217051"/>
            <w:r>
              <w:t>一、呼吸系统</w:t>
            </w:r>
            <w:bookmarkEnd w:id="18"/>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（一）慢性阻塞性肺疾病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）概述</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）临床表现、病程分期</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）治疗原则和预防</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（二）支气管哮喘</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（三）肺癌</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）病理分类</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（四）肺结核</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）治疗和预防</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19" w:name="_Toc144217052"/>
            <w:r>
              <w:t>二、心血管系统</w:t>
            </w:r>
            <w:bookmarkEnd w:id="19"/>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（一）原发性高血压</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）概念和危险分层</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）防治原则</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（二）冠状动脉粥样硬化性心脏病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）主要危险因素</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kern w:val="0"/>
                <w:sz w:val="22"/>
              </w:rPr>
            </w:pPr>
            <w:r>
              <w:rPr>
                <w:kern w:val="0"/>
                <w:sz w:val="22"/>
              </w:rPr>
              <w:t>（2）一般防治原则</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（三）心力衰竭</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）基本病因及诱因</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）慢性心力衰竭的临床表现</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（四）心脏骤停</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）临床表现、诊断要点</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）处理原则</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0" w:name="_Toc144217053"/>
            <w:r>
              <w:t>三、消化系统</w:t>
            </w:r>
            <w:bookmarkEnd w:id="20"/>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（一）急慢性胃炎</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（二）消化性溃疡</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（三）急性阑尾炎</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（四）原发性肝癌</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（五）胃癌</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（六）结直肠癌</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1" w:name="_Toc144217054"/>
            <w:r>
              <w:t>四、女性生殖系统</w:t>
            </w:r>
            <w:bookmarkEnd w:id="21"/>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（一）妊娠与分娩</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）妊娠诊断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）影响分娩的因素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）分娩的临床经过</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（二）子痫前期-子痫</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）定义</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）处理原则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（三）产后出血</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）处理原则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）预防</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（四）产褥感染</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）处理原则</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5</w:t>
            </w:r>
            <w:r>
              <w:rPr>
                <w:kern w:val="0"/>
                <w:sz w:val="22"/>
              </w:rPr>
              <w:t>）预防</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（五）妊娠合并糖尿病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）对母儿结局的影响</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（六）子宫颈癌</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）鳞状上皮内病变</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）临床分期</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5</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（七）子宫肌瘤</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）分类</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（八）阴道炎症</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）分类</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2" w:name="_Toc144217055"/>
            <w:r>
              <w:t>五、血液系统</w:t>
            </w:r>
            <w:bookmarkEnd w:id="22"/>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（一）造血系统疾病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）分类</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）临床表现与实验室检查</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5</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4062" w:type="pct"/>
            <w:gridSpan w:val="3"/>
            <w:tcBorders>
              <w:top w:val="single" w:color="auto" w:sz="4" w:space="0"/>
              <w:left w:val="single" w:color="auto" w:sz="4" w:space="0"/>
              <w:bottom w:val="single" w:color="auto" w:sz="4" w:space="0"/>
              <w:right w:val="single" w:color="auto" w:sz="4" w:space="0"/>
            </w:tcBorders>
            <w:vAlign w:val="center"/>
          </w:tcPr>
          <w:p>
            <w:pPr>
              <w:widowControl/>
              <w:jc w:val="left"/>
              <w:outlineLvl w:val="1"/>
              <w:rPr>
                <w:kern w:val="0"/>
                <w:sz w:val="22"/>
              </w:rPr>
            </w:pPr>
            <w:r>
              <w:rPr>
                <w:kern w:val="0"/>
                <w:sz w:val="22"/>
              </w:rPr>
              <w:t>（二）输血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tcBorders>
              <w:top w:val="single" w:color="auto" w:sz="4" w:space="0"/>
              <w:left w:val="single" w:color="auto" w:sz="4" w:space="0"/>
              <w:bottom w:val="single" w:color="auto" w:sz="4" w:space="0"/>
              <w:right w:val="single" w:color="auto" w:sz="4" w:space="0"/>
            </w:tcBorders>
            <w:vAlign w:val="center"/>
          </w:tcPr>
          <w:p>
            <w:pPr>
              <w:widowControl/>
              <w:jc w:val="left"/>
              <w:outlineLvl w:val="1"/>
              <w:rPr>
                <w:kern w:val="0"/>
                <w:sz w:val="22"/>
              </w:rPr>
            </w:pPr>
            <w:r>
              <w:rPr>
                <w:rFonts w:eastAsia="等线"/>
                <w:kern w:val="0"/>
                <w:sz w:val="22"/>
              </w:rPr>
              <w:t>1</w:t>
            </w:r>
            <w:r>
              <w:rPr>
                <w:kern w:val="0"/>
                <w:sz w:val="22"/>
              </w:rPr>
              <w:t>．合理输血</w:t>
            </w:r>
          </w:p>
        </w:tc>
        <w:tc>
          <w:tcPr>
            <w:tcW w:w="2265" w:type="pct"/>
            <w:tcBorders>
              <w:top w:val="single" w:color="auto" w:sz="4" w:space="0"/>
              <w:left w:val="nil"/>
              <w:bottom w:val="single" w:color="auto" w:sz="4" w:space="0"/>
              <w:right w:val="single" w:color="auto" w:sz="4" w:space="0"/>
            </w:tcBorders>
            <w:shd w:val="clear" w:color="auto" w:fill="auto"/>
          </w:tcPr>
          <w:p>
            <w:pPr>
              <w:widowControl/>
              <w:jc w:val="left"/>
              <w:outlineLvl w:val="1"/>
              <w:rPr>
                <w:rFonts w:eastAsia="等线"/>
                <w:kern w:val="0"/>
                <w:sz w:val="22"/>
              </w:rPr>
            </w:pPr>
            <w:r>
              <w:rPr>
                <w:kern w:val="0"/>
                <w:sz w:val="22"/>
              </w:rPr>
              <w:t>常见血液成分的特性和临床应用</w:t>
            </w:r>
          </w:p>
        </w:tc>
        <w:tc>
          <w:tcPr>
            <w:tcW w:w="543" w:type="pct"/>
            <w:tcBorders>
              <w:top w:val="single" w:color="auto" w:sz="4" w:space="0"/>
              <w:left w:val="nil"/>
              <w:bottom w:val="single" w:color="auto" w:sz="4" w:space="0"/>
              <w:right w:val="single" w:color="auto" w:sz="4" w:space="0"/>
            </w:tcBorders>
          </w:tcPr>
          <w:p>
            <w:pPr>
              <w:widowControl/>
              <w:jc w:val="center"/>
              <w:outlineLvl w:val="1"/>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tcBorders>
              <w:top w:val="single" w:color="auto" w:sz="4" w:space="0"/>
              <w:left w:val="single" w:color="auto" w:sz="4" w:space="0"/>
              <w:bottom w:val="single" w:color="auto" w:sz="4" w:space="0"/>
              <w:right w:val="single" w:color="auto" w:sz="4" w:space="0"/>
            </w:tcBorders>
          </w:tcPr>
          <w:p>
            <w:pPr>
              <w:widowControl/>
              <w:jc w:val="left"/>
              <w:outlineLvl w:val="1"/>
              <w:rPr>
                <w:rFonts w:eastAsia="等线"/>
                <w:kern w:val="0"/>
                <w:sz w:val="22"/>
              </w:rPr>
            </w:pPr>
            <w:r>
              <w:rPr>
                <w:rFonts w:eastAsia="等线"/>
                <w:kern w:val="0"/>
                <w:sz w:val="22"/>
              </w:rPr>
              <w:t>2</w:t>
            </w:r>
            <w:r>
              <w:rPr>
                <w:kern w:val="0"/>
                <w:sz w:val="22"/>
              </w:rPr>
              <w:t>．安全输血</w:t>
            </w:r>
          </w:p>
        </w:tc>
        <w:tc>
          <w:tcPr>
            <w:tcW w:w="2265" w:type="pct"/>
            <w:tcBorders>
              <w:top w:val="single" w:color="auto" w:sz="4" w:space="0"/>
              <w:left w:val="nil"/>
              <w:bottom w:val="single" w:color="auto" w:sz="4" w:space="0"/>
              <w:right w:val="single" w:color="auto" w:sz="4" w:space="0"/>
            </w:tcBorders>
            <w:shd w:val="clear" w:color="auto" w:fill="auto"/>
            <w:vAlign w:val="bottom"/>
          </w:tcPr>
          <w:p>
            <w:pPr>
              <w:widowControl/>
              <w:jc w:val="left"/>
              <w:outlineLvl w:val="1"/>
              <w:rPr>
                <w:rFonts w:eastAsia="等线"/>
                <w:kern w:val="0"/>
                <w:sz w:val="22"/>
              </w:rPr>
            </w:pPr>
            <w:r>
              <w:rPr>
                <w:kern w:val="0"/>
                <w:sz w:val="22"/>
              </w:rPr>
              <w:t>输血不良反应和输血传播疾病</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3" w:name="_Toc144217056"/>
            <w:r>
              <w:t>六、内分泌系统</w:t>
            </w:r>
            <w:bookmarkEnd w:id="23"/>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（一）甲状腺功能亢进症</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（二）甲状腺功能减退症</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（三）糖尿病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）定义</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）诊断与分型</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）综合防治原则</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5</w:t>
            </w:r>
            <w:r>
              <w:rPr>
                <w:kern w:val="0"/>
                <w:sz w:val="22"/>
              </w:rPr>
              <w:t>）糖尿病前期综合防治</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（四）骨质疏松症</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widowControl/>
              <w:jc w:val="center"/>
              <w:outlineLvl w:val="1"/>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widowControl/>
              <w:jc w:val="center"/>
              <w:outlineLvl w:val="1"/>
              <w:rPr>
                <w:kern w:val="0"/>
                <w:sz w:val="22"/>
              </w:rP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）诊断与鉴别诊断</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4" w:name="_Toc144217057"/>
            <w:r>
              <w:t>七、精神、神经系统</w:t>
            </w:r>
            <w:bookmarkEnd w:id="24"/>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（一）神经系统疾病概论</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）脑卒中危险因素</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）脑卒中预防原则</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（二）精神障碍概论</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）概念</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）主要症状（综合征）</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5" w:name="_Toc144217058"/>
            <w:r>
              <w:t>八、运动系统</w:t>
            </w:r>
            <w:bookmarkEnd w:id="25"/>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（一）骨折</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）影像学检查</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）急救</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）治疗原则</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4062" w:type="pct"/>
            <w:gridSpan w:val="3"/>
            <w:tcBorders>
              <w:top w:val="single" w:color="auto" w:sz="4" w:space="0"/>
              <w:left w:val="single" w:color="auto" w:sz="4" w:space="0"/>
              <w:bottom w:val="single" w:color="auto" w:sz="4" w:space="0"/>
              <w:right w:val="single" w:color="auto" w:sz="4" w:space="0"/>
            </w:tcBorders>
            <w:vAlign w:val="center"/>
          </w:tcPr>
          <w:p>
            <w:pPr>
              <w:widowControl/>
              <w:jc w:val="left"/>
              <w:outlineLvl w:val="1"/>
              <w:rPr>
                <w:kern w:val="0"/>
                <w:sz w:val="22"/>
              </w:rPr>
            </w:pPr>
            <w:r>
              <w:rPr>
                <w:kern w:val="0"/>
                <w:sz w:val="22"/>
              </w:rPr>
              <w:t>（二）运动系统慢性损伤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tcBorders>
              <w:top w:val="single" w:color="auto" w:sz="4" w:space="0"/>
              <w:left w:val="single" w:color="auto" w:sz="4" w:space="0"/>
              <w:bottom w:val="single" w:color="auto" w:sz="4" w:space="0"/>
              <w:right w:val="single" w:color="auto" w:sz="4" w:space="0"/>
            </w:tcBorders>
            <w:vAlign w:val="center"/>
          </w:tcPr>
          <w:p>
            <w:pPr>
              <w:widowControl/>
              <w:jc w:val="left"/>
              <w:outlineLvl w:val="1"/>
              <w:rPr>
                <w:kern w:val="0"/>
                <w:sz w:val="22"/>
              </w:rPr>
            </w:pPr>
            <w:r>
              <w:rPr>
                <w:kern w:val="0"/>
                <w:sz w:val="22"/>
              </w:rPr>
              <w:t>概论</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kern w:val="0"/>
                <w:sz w:val="22"/>
              </w:rPr>
            </w:pPr>
            <w:r>
              <w:rPr>
                <w:kern w:val="0"/>
                <w:sz w:val="22"/>
              </w:rPr>
              <w:t>临床特点</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right w:val="single" w:color="auto" w:sz="4" w:space="0"/>
            </w:tcBorders>
            <w:vAlign w:val="center"/>
          </w:tcPr>
          <w:p>
            <w:pPr>
              <w:pStyle w:val="79"/>
              <w:rPr>
                <w:rFonts w:eastAsia="等线"/>
              </w:rPr>
            </w:pPr>
            <w:bookmarkStart w:id="26" w:name="_Toc144217059"/>
            <w:r>
              <w:t>九、儿科</w:t>
            </w:r>
            <w:bookmarkEnd w:id="26"/>
          </w:p>
        </w:tc>
        <w:tc>
          <w:tcPr>
            <w:tcW w:w="1254" w:type="pc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（一）感染性疾病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p>
        </w:tc>
        <w:tc>
          <w:tcPr>
            <w:tcW w:w="543" w:type="pct"/>
            <w:tcBorders>
              <w:top w:val="single" w:color="auto" w:sz="4" w:space="0"/>
              <w:left w:val="nil"/>
              <w:bottom w:val="single" w:color="auto" w:sz="4" w:space="0"/>
              <w:right w:val="single" w:color="auto" w:sz="4" w:space="0"/>
            </w:tcBorders>
            <w:vAlign w:val="center"/>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outlineLvl w:val="1"/>
              <w:rPr>
                <w:rFonts w:eastAsia="等线"/>
                <w:kern w:val="0"/>
                <w:sz w:val="22"/>
              </w:rPr>
            </w:pPr>
            <w:r>
              <w:rPr>
                <w:kern w:val="0"/>
                <w:sz w:val="22"/>
              </w:rPr>
              <w:t>常见发疹性疾病（麻疹、风疹、幼儿急疹、水痘、猩红热）</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）常见呼吸道发疹性疾病的病因</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）各种皮疹特点和出疹规律</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）常见并发症</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）治疗与预防</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4062" w:type="pct"/>
            <w:gridSpan w:val="3"/>
            <w:tcBorders>
              <w:top w:val="single" w:color="auto" w:sz="4" w:space="0"/>
              <w:left w:val="single" w:color="auto" w:sz="4" w:space="0"/>
              <w:bottom w:val="single" w:color="auto" w:sz="4" w:space="0"/>
              <w:right w:val="single" w:color="auto" w:sz="4" w:space="0"/>
            </w:tcBorders>
            <w:vAlign w:val="center"/>
          </w:tcPr>
          <w:p>
            <w:pPr>
              <w:jc w:val="left"/>
            </w:pPr>
            <w:r>
              <w:rPr>
                <w:kern w:val="0"/>
                <w:sz w:val="22"/>
              </w:rPr>
              <w:t>（二）结核病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outlineLvl w:val="1"/>
              <w:rPr>
                <w:rFonts w:eastAsia="等线"/>
                <w:kern w:val="0"/>
                <w:sz w:val="22"/>
              </w:rPr>
            </w:pPr>
            <w:r>
              <w:rPr>
                <w:kern w:val="0"/>
                <w:sz w:val="22"/>
              </w:rPr>
              <w:t>原发型肺结核</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）治疗</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4062" w:type="pct"/>
            <w:gridSpan w:val="3"/>
            <w:tcBorders>
              <w:top w:val="single" w:color="auto" w:sz="4" w:space="0"/>
              <w:left w:val="single" w:color="auto" w:sz="4" w:space="0"/>
              <w:bottom w:val="single" w:color="auto" w:sz="4" w:space="0"/>
              <w:right w:val="single" w:color="auto" w:sz="4" w:space="0"/>
            </w:tcBorders>
            <w:vAlign w:val="center"/>
          </w:tcPr>
          <w:p>
            <w:pPr>
              <w:jc w:val="left"/>
            </w:pPr>
            <w:r>
              <w:rPr>
                <w:kern w:val="0"/>
                <w:sz w:val="22"/>
              </w:rPr>
              <w:t>（三）消化系统疾病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outlineLvl w:val="1"/>
              <w:rPr>
                <w:rFonts w:eastAsia="等线"/>
                <w:kern w:val="0"/>
                <w:sz w:val="22"/>
              </w:rPr>
            </w:pPr>
            <w:r>
              <w:rPr>
                <w:kern w:val="0"/>
                <w:sz w:val="22"/>
              </w:rPr>
              <w:t>小儿腹泻病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）病因</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）治疗</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4062" w:type="pct"/>
            <w:gridSpan w:val="3"/>
            <w:tcBorders>
              <w:top w:val="single" w:color="auto" w:sz="4" w:space="0"/>
              <w:left w:val="single" w:color="auto" w:sz="4" w:space="0"/>
              <w:bottom w:val="single" w:color="auto" w:sz="4" w:space="0"/>
              <w:right w:val="single" w:color="auto" w:sz="4" w:space="0"/>
            </w:tcBorders>
            <w:vAlign w:val="center"/>
          </w:tcPr>
          <w:p>
            <w:pPr>
              <w:jc w:val="left"/>
            </w:pPr>
            <w:r>
              <w:rPr>
                <w:kern w:val="0"/>
                <w:sz w:val="22"/>
              </w:rPr>
              <w:t>（四）呼吸系统疾病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outlineLvl w:val="1"/>
              <w:rPr>
                <w:rFonts w:eastAsia="等线"/>
                <w:kern w:val="0"/>
                <w:sz w:val="22"/>
              </w:rPr>
            </w:pPr>
            <w:r>
              <w:rPr>
                <w:kern w:val="0"/>
                <w:sz w:val="22"/>
              </w:rPr>
              <w:t>小儿肺炎</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）肺炎的分类</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）支气管肺炎的临床表现与并发症</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）几种不同病原体所致肺炎的临床表现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4062" w:type="pct"/>
            <w:gridSpan w:val="3"/>
            <w:tcBorders>
              <w:top w:val="single" w:color="auto" w:sz="4" w:space="0"/>
              <w:left w:val="single" w:color="auto" w:sz="4" w:space="0"/>
              <w:bottom w:val="single" w:color="auto" w:sz="4" w:space="0"/>
              <w:right w:val="single" w:color="auto" w:sz="4" w:space="0"/>
            </w:tcBorders>
            <w:vAlign w:val="center"/>
          </w:tcPr>
          <w:p>
            <w:pPr>
              <w:jc w:val="left"/>
            </w:pPr>
            <w:r>
              <w:rPr>
                <w:kern w:val="0"/>
                <w:sz w:val="22"/>
              </w:rPr>
              <w:t>（五）心血管系统疾病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outlineLvl w:val="1"/>
              <w:rPr>
                <w:rFonts w:eastAsia="等线"/>
                <w:kern w:val="0"/>
                <w:sz w:val="22"/>
              </w:rPr>
            </w:pPr>
            <w:r>
              <w:rPr>
                <w:kern w:val="0"/>
                <w:sz w:val="22"/>
              </w:rPr>
              <w:t>先天性心脏病概述</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）先天性心脏病的分类</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outlineLvl w:val="1"/>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）几种常见先心病的临床表现、诊断与鉴别诊断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7" w:name="_Toc144217060"/>
            <w:r>
              <w:t>十、传染病</w:t>
            </w:r>
            <w:bookmarkEnd w:id="27"/>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（一）病毒性肝炎</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）临床分型</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）甲、乙型肝炎的血清学诊断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（二）流行性乙型脑炎</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（三）伤寒</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（四）肾综合征出血热</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）临床表现分期</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）诊断依据</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（五）细菌性痢疾</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）急性细菌性痢疾的临床表现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）粪便检查特点</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）诊断依据</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（六）霍乱</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（七）疟疾</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）典型临床表现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）诊断依据</w:t>
            </w:r>
          </w:p>
        </w:tc>
        <w:tc>
          <w:tcPr>
            <w:tcW w:w="543" w:type="pct"/>
            <w:tcBorders>
              <w:top w:val="single" w:color="auto" w:sz="4" w:space="0"/>
              <w:left w:val="nil"/>
              <w:bottom w:val="single" w:color="auto" w:sz="4" w:space="0"/>
              <w:right w:val="single" w:color="auto" w:sz="4" w:space="0"/>
            </w:tcBorders>
            <w:vAlign w:val="center"/>
          </w:tcPr>
          <w:p>
            <w:pPr>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）主要预防措施</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（八）血吸虫病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）急性血吸虫病的临床表现</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）诊断依据</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）主要预防措施</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（九）艾滋病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）传染途径</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（十）流感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）流行病学</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）诊断与鉴别诊断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）主要预防措施</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pStyle w:val="79"/>
              <w:rPr>
                <w:rFonts w:eastAsia="等线"/>
              </w:rPr>
            </w:pPr>
            <w:bookmarkStart w:id="28" w:name="_Toc144217061"/>
            <w:r>
              <w:t>十一、性传播疾病</w:t>
            </w:r>
            <w:bookmarkEnd w:id="28"/>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（一）淋病</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）病原体及传播途径</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）预防措施</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（二）梅毒</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）病原体及传播途径</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）分期及临床表现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）预防措施</w:t>
            </w:r>
          </w:p>
        </w:tc>
        <w:tc>
          <w:tcPr>
            <w:tcW w:w="543" w:type="pct"/>
            <w:tcBorders>
              <w:top w:val="single" w:color="auto" w:sz="4" w:space="0"/>
              <w:left w:val="nil"/>
              <w:bottom w:val="single" w:color="auto" w:sz="4" w:space="0"/>
              <w:right w:val="single" w:color="auto" w:sz="4" w:space="0"/>
            </w:tcBorders>
          </w:tcPr>
          <w:p>
            <w:pPr>
              <w:widowControl/>
              <w:jc w:val="center"/>
              <w:outlineLvl w:val="1"/>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r>
              <w:rPr>
                <w:kern w:val="0"/>
                <w:sz w:val="22"/>
              </w:rPr>
              <w:t>（三）尖锐湿疣</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）病原体及传播途径</w:t>
            </w:r>
          </w:p>
        </w:tc>
        <w:tc>
          <w:tcPr>
            <w:tcW w:w="543" w:type="pct"/>
            <w:tcBorders>
              <w:top w:val="single" w:color="auto" w:sz="4" w:space="0"/>
              <w:left w:val="nil"/>
              <w:bottom w:val="single" w:color="auto" w:sz="4" w:space="0"/>
              <w:right w:val="single" w:color="auto" w:sz="4" w:space="0"/>
            </w:tcBorders>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）临床表现</w:t>
            </w:r>
          </w:p>
        </w:tc>
        <w:tc>
          <w:tcPr>
            <w:tcW w:w="543" w:type="pct"/>
            <w:tcBorders>
              <w:top w:val="single" w:color="auto" w:sz="4" w:space="0"/>
              <w:left w:val="nil"/>
              <w:bottom w:val="single" w:color="auto" w:sz="4" w:space="0"/>
              <w:right w:val="single" w:color="auto" w:sz="4" w:space="0"/>
            </w:tcBorders>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3</w:t>
            </w:r>
            <w:r>
              <w:rPr>
                <w:kern w:val="0"/>
                <w:sz w:val="22"/>
              </w:rPr>
              <w:t>）诊断</w:t>
            </w:r>
          </w:p>
        </w:tc>
        <w:tc>
          <w:tcPr>
            <w:tcW w:w="543" w:type="pct"/>
            <w:tcBorders>
              <w:top w:val="single" w:color="auto" w:sz="4" w:space="0"/>
              <w:left w:val="nil"/>
              <w:bottom w:val="single" w:color="auto" w:sz="4" w:space="0"/>
              <w:right w:val="single" w:color="auto" w:sz="4" w:space="0"/>
            </w:tcBorders>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4</w:t>
            </w:r>
            <w:r>
              <w:rPr>
                <w:kern w:val="0"/>
                <w:sz w:val="22"/>
              </w:rPr>
              <w:t>）预防措施</w:t>
            </w:r>
          </w:p>
        </w:tc>
        <w:tc>
          <w:tcPr>
            <w:tcW w:w="543" w:type="pct"/>
            <w:tcBorders>
              <w:top w:val="single" w:color="auto" w:sz="4" w:space="0"/>
              <w:left w:val="nil"/>
              <w:bottom w:val="single" w:color="auto" w:sz="4" w:space="0"/>
              <w:right w:val="single" w:color="auto" w:sz="4" w:space="0"/>
            </w:tcBorders>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restart"/>
            <w:tcBorders>
              <w:top w:val="single" w:color="auto" w:sz="4" w:space="0"/>
              <w:left w:val="single" w:color="auto" w:sz="4" w:space="0"/>
              <w:right w:val="single" w:color="auto" w:sz="4" w:space="0"/>
            </w:tcBorders>
            <w:vAlign w:val="center"/>
          </w:tcPr>
          <w:p>
            <w:pPr>
              <w:pStyle w:val="79"/>
              <w:rPr>
                <w:rFonts w:eastAsia="等线"/>
              </w:rPr>
            </w:pPr>
            <w:bookmarkStart w:id="29" w:name="_Toc144217062"/>
            <w:r>
              <w:t>十二、其他</w:t>
            </w:r>
            <w:bookmarkEnd w:id="29"/>
          </w:p>
        </w:tc>
        <w:tc>
          <w:tcPr>
            <w:tcW w:w="1254" w:type="pct"/>
            <w:vMerge w:val="restart"/>
            <w:tcBorders>
              <w:top w:val="single" w:color="auto" w:sz="4" w:space="0"/>
              <w:left w:val="single" w:color="auto" w:sz="4" w:space="0"/>
              <w:right w:val="single" w:color="auto" w:sz="4" w:space="0"/>
            </w:tcBorders>
            <w:vAlign w:val="center"/>
          </w:tcPr>
          <w:p>
            <w:pPr>
              <w:widowControl/>
              <w:tabs>
                <w:tab w:val="right" w:pos="2060"/>
              </w:tabs>
              <w:jc w:val="left"/>
              <w:outlineLvl w:val="1"/>
              <w:rPr>
                <w:rFonts w:eastAsia="等线"/>
                <w:kern w:val="0"/>
                <w:sz w:val="22"/>
                <w:lang w:val="en"/>
              </w:rPr>
            </w:pPr>
            <w:r>
              <w:rPr>
                <w:kern w:val="0"/>
                <w:sz w:val="22"/>
              </w:rPr>
              <w:t>（一）无菌术</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1</w:t>
            </w:r>
            <w:r>
              <w:rPr>
                <w:kern w:val="0"/>
                <w:sz w:val="22"/>
              </w:rPr>
              <w:t>）灭菌、消毒概念和方法</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outlineLvl w:val="1"/>
              <w:rPr>
                <w:rFonts w:eastAsia="等线"/>
                <w:kern w:val="0"/>
                <w:sz w:val="22"/>
              </w:rPr>
            </w:pPr>
            <w:r>
              <w:rPr>
                <w:kern w:val="0"/>
                <w:sz w:val="22"/>
              </w:rPr>
              <w:t>（</w:t>
            </w:r>
            <w:r>
              <w:rPr>
                <w:rFonts w:eastAsia="等线"/>
                <w:kern w:val="0"/>
                <w:sz w:val="22"/>
              </w:rPr>
              <w:t>2</w:t>
            </w:r>
            <w:r>
              <w:rPr>
                <w:kern w:val="0"/>
                <w:sz w:val="22"/>
              </w:rPr>
              <w:t>）手术中的无菌原则</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restart"/>
            <w:tcBorders>
              <w:top w:val="single" w:color="auto" w:sz="4" w:space="0"/>
              <w:left w:val="single" w:color="auto" w:sz="4" w:space="0"/>
              <w:right w:val="single" w:color="auto" w:sz="4" w:space="0"/>
            </w:tcBorders>
            <w:vAlign w:val="center"/>
          </w:tcPr>
          <w:p>
            <w:pPr>
              <w:widowControl/>
              <w:jc w:val="left"/>
              <w:textAlignment w:val="center"/>
              <w:rPr>
                <w:rFonts w:eastAsia="等线"/>
                <w:kern w:val="0"/>
                <w:sz w:val="22"/>
              </w:rPr>
            </w:pPr>
            <w:r>
              <w:rPr>
                <w:kern w:val="0"/>
                <w:sz w:val="22"/>
                <w:szCs w:val="22"/>
                <w:lang w:bidi="ar"/>
              </w:rPr>
              <w:t>（二）急性中毒</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kern w:val="0"/>
                <w:sz w:val="22"/>
              </w:rPr>
            </w:pPr>
            <w:r>
              <w:rPr>
                <w:kern w:val="0"/>
                <w:sz w:val="22"/>
                <w:szCs w:val="22"/>
                <w:lang w:bidi="ar"/>
              </w:rPr>
              <w:t>（</w:t>
            </w:r>
            <w:r>
              <w:rPr>
                <w:rStyle w:val="72"/>
                <w:rFonts w:eastAsia="等线"/>
                <w:color w:val="auto"/>
                <w:lang w:bidi="ar"/>
              </w:rPr>
              <w:t>1</w:t>
            </w:r>
            <w:r>
              <w:rPr>
                <w:kern w:val="0"/>
                <w:sz w:val="22"/>
                <w:szCs w:val="22"/>
                <w:lang w:bidi="ar"/>
              </w:rPr>
              <w:t>）概念</w:t>
            </w:r>
            <w:r>
              <w:rPr>
                <w:rStyle w:val="72"/>
                <w:rFonts w:eastAsia="等线"/>
                <w:color w:val="auto"/>
                <w:lang w:bidi="ar"/>
              </w:rPr>
              <w:t xml:space="preserve"> </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kern w:val="0"/>
                <w:sz w:val="22"/>
              </w:rPr>
            </w:pPr>
            <w:r>
              <w:rPr>
                <w:kern w:val="0"/>
                <w:sz w:val="22"/>
                <w:szCs w:val="22"/>
                <w:lang w:bidi="ar"/>
              </w:rPr>
              <w:t>（</w:t>
            </w:r>
            <w:r>
              <w:rPr>
                <w:rStyle w:val="72"/>
                <w:rFonts w:eastAsia="等线"/>
                <w:color w:val="auto"/>
                <w:lang w:bidi="ar"/>
              </w:rPr>
              <w:t>2</w:t>
            </w:r>
            <w:r>
              <w:rPr>
                <w:kern w:val="0"/>
                <w:sz w:val="22"/>
                <w:szCs w:val="22"/>
                <w:lang w:bidi="ar"/>
              </w:rPr>
              <w:t>）病因</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right w:val="single" w:color="auto" w:sz="4" w:space="0"/>
            </w:tcBorders>
            <w:vAlign w:val="center"/>
          </w:tcPr>
          <w:p>
            <w:pPr>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kern w:val="0"/>
                <w:sz w:val="22"/>
              </w:rPr>
            </w:pPr>
            <w:r>
              <w:rPr>
                <w:kern w:val="0"/>
                <w:sz w:val="22"/>
                <w:szCs w:val="22"/>
                <w:lang w:bidi="ar"/>
              </w:rPr>
              <w:t>（</w:t>
            </w:r>
            <w:r>
              <w:rPr>
                <w:rStyle w:val="72"/>
                <w:rFonts w:eastAsia="等线"/>
                <w:color w:val="auto"/>
                <w:lang w:bidi="ar"/>
              </w:rPr>
              <w:t>3</w:t>
            </w:r>
            <w:r>
              <w:rPr>
                <w:kern w:val="0"/>
                <w:sz w:val="22"/>
                <w:szCs w:val="22"/>
                <w:lang w:bidi="ar"/>
              </w:rPr>
              <w:t>）临床表现</w:t>
            </w:r>
          </w:p>
        </w:tc>
        <w:tc>
          <w:tcPr>
            <w:tcW w:w="543" w:type="pct"/>
            <w:tcBorders>
              <w:top w:val="single" w:color="auto" w:sz="4" w:space="0"/>
              <w:left w:val="nil"/>
              <w:bottom w:val="single" w:color="auto" w:sz="4" w:space="0"/>
              <w:right w:val="single" w:color="auto" w:sz="4" w:space="0"/>
            </w:tcBorders>
            <w:vAlign w:val="center"/>
          </w:tcPr>
          <w:p>
            <w:pPr>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38" w:type="pct"/>
            <w:vMerge w:val="continue"/>
            <w:tcBorders>
              <w:left w:val="single" w:color="auto" w:sz="4" w:space="0"/>
              <w:bottom w:val="single" w:color="auto" w:sz="4" w:space="0"/>
              <w:right w:val="single" w:color="auto" w:sz="4" w:space="0"/>
            </w:tcBorders>
            <w:vAlign w:val="center"/>
          </w:tcPr>
          <w:p>
            <w:pPr>
              <w:widowControl/>
              <w:jc w:val="left"/>
              <w:outlineLvl w:val="1"/>
              <w:rPr>
                <w:rFonts w:eastAsia="等线"/>
                <w:kern w:val="0"/>
                <w:sz w:val="22"/>
              </w:rPr>
            </w:pPr>
          </w:p>
        </w:tc>
        <w:tc>
          <w:tcPr>
            <w:tcW w:w="1254" w:type="pct"/>
            <w:vMerge w:val="continue"/>
            <w:tcBorders>
              <w:left w:val="single" w:color="auto" w:sz="4" w:space="0"/>
              <w:bottom w:val="single" w:color="auto" w:sz="4" w:space="0"/>
              <w:right w:val="single" w:color="auto" w:sz="4" w:space="0"/>
            </w:tcBorders>
            <w:vAlign w:val="center"/>
          </w:tcPr>
          <w:p>
            <w:pPr>
              <w:rPr>
                <w:rFonts w:eastAsia="等线"/>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jc w:val="left"/>
              <w:textAlignment w:val="center"/>
              <w:rPr>
                <w:kern w:val="0"/>
                <w:sz w:val="22"/>
              </w:rPr>
            </w:pPr>
            <w:r>
              <w:rPr>
                <w:kern w:val="0"/>
                <w:sz w:val="22"/>
                <w:szCs w:val="22"/>
                <w:lang w:bidi="ar"/>
              </w:rPr>
              <w:t>（</w:t>
            </w:r>
            <w:r>
              <w:rPr>
                <w:rStyle w:val="72"/>
                <w:rFonts w:eastAsia="等线"/>
                <w:color w:val="auto"/>
                <w:lang w:bidi="ar"/>
              </w:rPr>
              <w:t>4</w:t>
            </w:r>
            <w:r>
              <w:rPr>
                <w:kern w:val="0"/>
                <w:sz w:val="22"/>
                <w:szCs w:val="22"/>
                <w:lang w:bidi="ar"/>
              </w:rPr>
              <w:t>）诊断及治疗原则</w:t>
            </w:r>
          </w:p>
        </w:tc>
        <w:tc>
          <w:tcPr>
            <w:tcW w:w="543" w:type="pct"/>
            <w:tcBorders>
              <w:top w:val="single" w:color="auto" w:sz="4" w:space="0"/>
              <w:left w:val="nil"/>
              <w:bottom w:val="single" w:color="auto" w:sz="4" w:space="0"/>
              <w:right w:val="single" w:color="auto" w:sz="4" w:space="0"/>
            </w:tcBorders>
            <w:vAlign w:val="center"/>
          </w:tcPr>
          <w:p>
            <w:pPr>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000" w:type="pct"/>
            <w:gridSpan w:val="4"/>
            <w:tcBorders>
              <w:top w:val="single" w:color="auto" w:sz="4" w:space="0"/>
            </w:tcBorders>
            <w:vAlign w:val="center"/>
          </w:tcPr>
          <w:p>
            <w:pPr>
              <w:pStyle w:val="76"/>
              <w:widowControl/>
              <w:adjustRightInd w:val="0"/>
              <w:snapToGrid w:val="0"/>
              <w:spacing w:before="93" w:beforeLines="30" w:after="93" w:afterLines="30"/>
            </w:pPr>
            <w:bookmarkStart w:id="30" w:name="_Toc142388620"/>
            <w:bookmarkStart w:id="31" w:name="_Toc144217063"/>
            <w:r>
              <w:t>第四部分 公共卫生综合</w:t>
            </w:r>
            <w:bookmarkEnd w:id="30"/>
            <w:bookmarkEnd w:id="3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000" w:type="pct"/>
            <w:gridSpan w:val="4"/>
            <w:vAlign w:val="center"/>
          </w:tcPr>
          <w:p>
            <w:pPr>
              <w:ind w:firstLine="420" w:firstLineChars="200"/>
              <w:jc w:val="left"/>
            </w:pPr>
            <w:r>
              <w:rPr>
                <w:rFonts w:hint="eastAsia" w:eastAsiaTheme="minorEastAsia"/>
                <w:kern w:val="0"/>
                <w:szCs w:val="21"/>
              </w:rPr>
              <w:t>主要包括公共卫生执业助理医师必须掌握的</w:t>
            </w:r>
            <w:r>
              <w:rPr>
                <w:rFonts w:eastAsiaTheme="minorEastAsia"/>
                <w:kern w:val="0"/>
                <w:szCs w:val="21"/>
              </w:rPr>
              <w:t>基本理论和专业知识</w:t>
            </w:r>
            <w:r>
              <w:rPr>
                <w:rFonts w:hint="eastAsia" w:eastAsiaTheme="minorEastAsia"/>
                <w:kern w:val="0"/>
                <w:szCs w:val="21"/>
              </w:rPr>
              <w:t>，适当融合基础医学、医学人文学科等知识，重点考查运用知识分析问题、解决</w:t>
            </w:r>
            <w:r>
              <w:rPr>
                <w:rFonts w:eastAsiaTheme="minorEastAsia"/>
                <w:kern w:val="0"/>
                <w:szCs w:val="21"/>
              </w:rPr>
              <w:t>实际问题的能力</w:t>
            </w:r>
            <w:r>
              <w:rPr>
                <w:rFonts w:hint="eastAsia" w:eastAsiaTheme="minorEastAsia"/>
                <w:kern w:val="0"/>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5000" w:type="pct"/>
            <w:gridSpan w:val="4"/>
            <w:tcBorders>
              <w:bottom w:val="single" w:color="auto" w:sz="4" w:space="0"/>
            </w:tcBorders>
            <w:vAlign w:val="center"/>
          </w:tcPr>
          <w:p>
            <w:pPr>
              <w:pStyle w:val="77"/>
              <w:spacing w:before="93" w:beforeLines="30" w:after="93" w:afterLines="30"/>
            </w:pPr>
            <w:bookmarkStart w:id="32" w:name="_Toc142388621"/>
            <w:bookmarkStart w:id="33" w:name="_Toc144217064"/>
            <w:r>
              <w:rPr>
                <w:rFonts w:hint="eastAsia"/>
              </w:rPr>
              <w:t>一、</w:t>
            </w:r>
            <w:r>
              <w:t>流行病学</w:t>
            </w:r>
            <w:bookmarkEnd w:id="32"/>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top w:val="single" w:color="auto" w:sz="4" w:space="0"/>
              <w:bottom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top w:val="single" w:color="auto" w:sz="4" w:space="0"/>
              <w:bottom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一、绪论</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rPr>
                <w:color w:val="000000" w:themeColor="text1"/>
                <w:kern w:val="0"/>
                <w:sz w:val="22"/>
                <w:szCs w:val="22"/>
              </w:rPr>
            </w:pPr>
            <w:r>
              <w:rPr>
                <w:color w:val="000000" w:themeColor="text1"/>
                <w:kern w:val="0"/>
                <w:sz w:val="22"/>
                <w:szCs w:val="22"/>
              </w:rPr>
              <w:t>流行病学基本概念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（1）流行病学定义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（2）学科特点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（3）主要用途</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51"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二、疾病的分布</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1．疾病频率测量指标</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（1）发病率、罹患率、患病率、感染率、续发率、死亡率、病死率</w:t>
            </w:r>
            <w:r>
              <w:rPr>
                <w:rFonts w:hint="eastAsia"/>
                <w:color w:val="000000" w:themeColor="text1"/>
                <w:kern w:val="0"/>
                <w:sz w:val="22"/>
                <w:szCs w:val="22"/>
              </w:rPr>
              <w:t>、生存率</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（2）发病率、患病率与病程之间的关系；发病率与患病率的比较；死亡率</w:t>
            </w:r>
            <w:r>
              <w:rPr>
                <w:rFonts w:hint="eastAsia"/>
                <w:color w:val="000000" w:themeColor="text1"/>
                <w:kern w:val="0"/>
                <w:sz w:val="22"/>
                <w:szCs w:val="22"/>
              </w:rPr>
              <w:t>、死亡专率</w:t>
            </w:r>
            <w:r>
              <w:rPr>
                <w:color w:val="000000" w:themeColor="text1"/>
                <w:kern w:val="0"/>
                <w:sz w:val="22"/>
                <w:szCs w:val="22"/>
              </w:rPr>
              <w:t>与病死率的比较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2．疾病的流行强度</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（1）散发</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（2）暴发</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（3）流行</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（4）大流行</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3．疾病的分布特征</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（1）人群分布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（2）地区分布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（3）时间分布</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三、描述性研究</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（1）定义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（2）主要类型及基本特征</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（3）主要用途</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2．现况研究</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（1）概念、特点、主要用途、优缺点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（2）普查与抽样调查的概念、用途及各自的优缺点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w:t>
            </w:r>
            <w:r>
              <w:rPr>
                <w:rFonts w:hint="eastAsia"/>
                <w:color w:val="000000" w:themeColor="text1"/>
                <w:kern w:val="0"/>
                <w:sz w:val="22"/>
                <w:szCs w:val="22"/>
              </w:rPr>
              <w:t>影响</w:t>
            </w:r>
            <w:r>
              <w:rPr>
                <w:color w:val="000000" w:themeColor="text1"/>
                <w:kern w:val="0"/>
                <w:sz w:val="22"/>
                <w:szCs w:val="22"/>
              </w:rPr>
              <w:t>样本</w:t>
            </w:r>
            <w:r>
              <w:rPr>
                <w:rFonts w:hint="eastAsia"/>
                <w:color w:val="000000" w:themeColor="text1"/>
                <w:kern w:val="0"/>
                <w:sz w:val="22"/>
                <w:szCs w:val="22"/>
              </w:rPr>
              <w:t>大小</w:t>
            </w:r>
            <w:r>
              <w:rPr>
                <w:color w:val="000000" w:themeColor="text1"/>
                <w:kern w:val="0"/>
                <w:sz w:val="22"/>
                <w:szCs w:val="22"/>
              </w:rPr>
              <w:t>的</w:t>
            </w:r>
            <w:r>
              <w:rPr>
                <w:rFonts w:hint="eastAsia"/>
                <w:color w:val="000000" w:themeColor="text1"/>
                <w:kern w:val="0"/>
                <w:sz w:val="22"/>
                <w:szCs w:val="22"/>
              </w:rPr>
              <w:t>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（4）常用抽样方法与特点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w:t>
            </w:r>
            <w:r>
              <w:rPr>
                <w:rFonts w:hint="eastAsia"/>
                <w:color w:val="000000" w:themeColor="text1"/>
                <w:kern w:val="0"/>
                <w:sz w:val="22"/>
                <w:szCs w:val="22"/>
              </w:rPr>
              <w:t>常见偏倚的种类及其控制</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3．生态学研究</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（1）概念和用途</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（2）主要类型</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（3）优缺点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right w:val="single" w:color="auto" w:sz="4" w:space="0"/>
            </w:tcBorders>
            <w:vAlign w:val="center"/>
          </w:tcPr>
          <w:p>
            <w:pPr>
              <w:widowControl/>
              <w:rPr>
                <w:color w:val="000000" w:themeColor="text1"/>
                <w:sz w:val="22"/>
                <w:szCs w:val="22"/>
              </w:rPr>
            </w:pPr>
            <w:r>
              <w:rPr>
                <w:color w:val="000000" w:themeColor="text1"/>
                <w:kern w:val="0"/>
                <w:sz w:val="22"/>
                <w:szCs w:val="22"/>
              </w:rPr>
              <w:t>四、队列研究</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（1）定义与基本原理</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（2）主要用途</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（3）研究类型</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2．设计</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w:t>
            </w:r>
            <w:r>
              <w:rPr>
                <w:rFonts w:hint="eastAsia"/>
                <w:color w:val="000000" w:themeColor="text1"/>
                <w:kern w:val="0"/>
                <w:sz w:val="22"/>
                <w:szCs w:val="22"/>
              </w:rPr>
              <w:t>研究因素及结局的确定</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（2）暴露人群的选择</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（3）对照人群的选择</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w:t>
            </w:r>
            <w:r>
              <w:rPr>
                <w:rFonts w:hint="eastAsia"/>
                <w:color w:val="000000" w:themeColor="text1"/>
                <w:kern w:val="0"/>
                <w:sz w:val="22"/>
                <w:szCs w:val="22"/>
              </w:rPr>
              <w:t>影响样本大小的因素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w:t>
            </w:r>
            <w:r>
              <w:rPr>
                <w:rFonts w:hint="eastAsia"/>
                <w:color w:val="000000" w:themeColor="text1"/>
                <w:kern w:val="0"/>
                <w:sz w:val="22"/>
                <w:szCs w:val="22"/>
              </w:rPr>
              <w:t>5</w:t>
            </w:r>
            <w:r>
              <w:rPr>
                <w:color w:val="000000" w:themeColor="text1"/>
                <w:kern w:val="0"/>
                <w:sz w:val="22"/>
                <w:szCs w:val="22"/>
              </w:rPr>
              <w:t>）资料的收集与随访</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3．资料分析</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（1）人时的概念，以人时为分母计算频率的适用性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（2）累积发病率与发病密度</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w:t>
            </w:r>
            <w:r>
              <w:rPr>
                <w:i/>
                <w:color w:val="000000" w:themeColor="text1"/>
                <w:kern w:val="0"/>
                <w:sz w:val="22"/>
                <w:szCs w:val="22"/>
              </w:rPr>
              <w:t>RR</w:t>
            </w:r>
            <w:r>
              <w:rPr>
                <w:color w:val="000000" w:themeColor="text1"/>
                <w:kern w:val="0"/>
                <w:sz w:val="22"/>
                <w:szCs w:val="22"/>
              </w:rPr>
              <w:t>、</w:t>
            </w:r>
            <w:r>
              <w:rPr>
                <w:i/>
                <w:color w:val="000000" w:themeColor="text1"/>
                <w:kern w:val="0"/>
                <w:sz w:val="22"/>
                <w:szCs w:val="22"/>
              </w:rPr>
              <w:t>AR</w:t>
            </w:r>
            <w:r>
              <w:rPr>
                <w:color w:val="000000" w:themeColor="text1"/>
                <w:kern w:val="0"/>
                <w:sz w:val="22"/>
                <w:szCs w:val="22"/>
              </w:rPr>
              <w:t>、</w:t>
            </w:r>
            <w:r>
              <w:rPr>
                <w:i/>
                <w:color w:val="000000" w:themeColor="text1"/>
                <w:kern w:val="0"/>
                <w:sz w:val="22"/>
                <w:szCs w:val="22"/>
              </w:rPr>
              <w:t>AR</w:t>
            </w:r>
            <w:r>
              <w:rPr>
                <w:color w:val="000000" w:themeColor="text1"/>
                <w:kern w:val="0"/>
                <w:sz w:val="22"/>
                <w:szCs w:val="22"/>
              </w:rPr>
              <w:t>%、</w:t>
            </w:r>
            <w:r>
              <w:rPr>
                <w:i/>
                <w:color w:val="000000" w:themeColor="text1"/>
                <w:kern w:val="0"/>
                <w:sz w:val="22"/>
                <w:szCs w:val="22"/>
              </w:rPr>
              <w:t>PAR</w:t>
            </w:r>
            <w:r>
              <w:rPr>
                <w:color w:val="000000" w:themeColor="text1"/>
                <w:kern w:val="0"/>
                <w:sz w:val="22"/>
                <w:szCs w:val="22"/>
              </w:rPr>
              <w:t>、</w:t>
            </w:r>
            <w:r>
              <w:rPr>
                <w:i/>
                <w:color w:val="000000" w:themeColor="text1"/>
                <w:kern w:val="0"/>
                <w:sz w:val="22"/>
                <w:szCs w:val="22"/>
              </w:rPr>
              <w:t>PAR</w:t>
            </w:r>
            <w:r>
              <w:rPr>
                <w:color w:val="000000" w:themeColor="text1"/>
                <w:kern w:val="0"/>
                <w:sz w:val="22"/>
                <w:szCs w:val="22"/>
              </w:rPr>
              <w:t>%的概念、计算与应用</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4．常见偏倚</w:t>
            </w:r>
            <w:r>
              <w:rPr>
                <w:rFonts w:hint="eastAsia"/>
                <w:color w:val="000000" w:themeColor="text1"/>
                <w:kern w:val="0"/>
                <w:sz w:val="22"/>
                <w:szCs w:val="22"/>
              </w:rPr>
              <w:t>及其控制</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选择</w:t>
            </w:r>
            <w:r>
              <w:rPr>
                <w:color w:val="000000" w:themeColor="text1"/>
                <w:kern w:val="0"/>
                <w:sz w:val="22"/>
                <w:szCs w:val="22"/>
              </w:rPr>
              <w:t>偏倚</w:t>
            </w:r>
            <w:r>
              <w:rPr>
                <w:rFonts w:hint="eastAsia"/>
                <w:color w:val="000000" w:themeColor="text1"/>
                <w:kern w:val="0"/>
                <w:sz w:val="22"/>
                <w:szCs w:val="22"/>
              </w:rPr>
              <w:t>（如失访偏倚）、</w:t>
            </w:r>
            <w:r>
              <w:rPr>
                <w:color w:val="000000" w:themeColor="text1"/>
                <w:kern w:val="0"/>
                <w:sz w:val="22"/>
                <w:szCs w:val="22"/>
              </w:rPr>
              <w:t>信息偏</w:t>
            </w:r>
            <w:r>
              <w:rPr>
                <w:rFonts w:hint="eastAsia"/>
                <w:color w:val="000000" w:themeColor="text1"/>
                <w:kern w:val="0"/>
                <w:sz w:val="22"/>
                <w:szCs w:val="22"/>
              </w:rPr>
              <w:t>倚、混杂偏倚</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5．主要优缺点</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优点及局限性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6"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五、病例对照研究</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（1）定义与基本原理</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（2）主要用途</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2．设计</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（1）病例的选择</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（2）对照的选择</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w:t>
            </w:r>
            <w:r>
              <w:rPr>
                <w:rFonts w:hint="eastAsia"/>
                <w:color w:val="000000" w:themeColor="text1"/>
                <w:kern w:val="0"/>
                <w:sz w:val="22"/>
                <w:szCs w:val="22"/>
              </w:rPr>
              <w:t>匹配及其注意事项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（4）研究因素的确定</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w:t>
            </w:r>
            <w:r>
              <w:rPr>
                <w:rFonts w:hint="eastAsia"/>
                <w:color w:val="000000" w:themeColor="text1"/>
                <w:kern w:val="0"/>
                <w:sz w:val="22"/>
                <w:szCs w:val="22"/>
              </w:rPr>
              <w:t>影响样本大小的因素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3．资料分析</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w:t>
            </w:r>
            <w:r>
              <w:rPr>
                <w:i/>
                <w:color w:val="000000" w:themeColor="text1"/>
                <w:kern w:val="0"/>
                <w:sz w:val="22"/>
                <w:szCs w:val="22"/>
              </w:rPr>
              <w:t>OR</w:t>
            </w:r>
            <w:r>
              <w:rPr>
                <w:color w:val="000000" w:themeColor="text1"/>
                <w:kern w:val="0"/>
                <w:sz w:val="22"/>
                <w:szCs w:val="22"/>
              </w:rPr>
              <w:t>值及95%可信区间</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（2）成组资料、匹配资料</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1254"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4．常见偏倚及其控制</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选择偏倚、信息偏倚、混杂偏倚</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5．主要优缺点</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优点及局限性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六、流行病学实验研究</w:t>
            </w:r>
          </w:p>
        </w:tc>
        <w:tc>
          <w:tcPr>
            <w:tcW w:w="1254" w:type="pct"/>
            <w:vMerge w:val="restart"/>
            <w:tcBorders>
              <w:top w:val="single" w:color="auto" w:sz="4" w:space="0"/>
              <w:left w:val="single" w:color="auto" w:sz="4" w:space="0"/>
              <w:bottom w:val="nil"/>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（1）定义、特征、主要类型</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nil"/>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（2）主要用途</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2．临床试验</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（1）概念、目的、分期和特点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2</w:t>
            </w:r>
            <w:r>
              <w:rPr>
                <w:rFonts w:hint="eastAsia"/>
                <w:color w:val="000000" w:themeColor="text1"/>
                <w:kern w:val="0"/>
                <w:sz w:val="22"/>
                <w:szCs w:val="22"/>
              </w:rPr>
              <w:t>）研究人群的选择</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3</w:t>
            </w:r>
            <w:r>
              <w:rPr>
                <w:rFonts w:hint="eastAsia"/>
                <w:color w:val="000000" w:themeColor="text1"/>
                <w:kern w:val="0"/>
                <w:sz w:val="22"/>
                <w:szCs w:val="22"/>
              </w:rPr>
              <w:t>）分组方法</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4</w:t>
            </w:r>
            <w:r>
              <w:rPr>
                <w:rFonts w:hint="eastAsia"/>
                <w:color w:val="000000" w:themeColor="text1"/>
                <w:kern w:val="0"/>
                <w:sz w:val="22"/>
                <w:szCs w:val="22"/>
              </w:rPr>
              <w:t>）影响样本大小的因素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5</w:t>
            </w:r>
            <w:r>
              <w:rPr>
                <w:rFonts w:hint="eastAsia"/>
                <w:color w:val="000000" w:themeColor="text1"/>
                <w:kern w:val="0"/>
                <w:sz w:val="22"/>
                <w:szCs w:val="22"/>
              </w:rPr>
              <w:t>）设立对照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6</w:t>
            </w:r>
            <w:r>
              <w:rPr>
                <w:rFonts w:hint="eastAsia"/>
                <w:color w:val="000000" w:themeColor="text1"/>
                <w:kern w:val="0"/>
                <w:sz w:val="22"/>
                <w:szCs w:val="22"/>
              </w:rPr>
              <w:t>）盲法</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7</w:t>
            </w:r>
            <w:r>
              <w:rPr>
                <w:rFonts w:hint="eastAsia"/>
                <w:color w:val="000000" w:themeColor="text1"/>
                <w:kern w:val="0"/>
                <w:sz w:val="22"/>
                <w:szCs w:val="22"/>
              </w:rPr>
              <w:t>）资料的收集与整理</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（8）疗效评价指标</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3．现场试验和社区试验</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（1）概念、目的</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（2）效果评价指标</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4．需要注意的问题</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（1）伦理与知情同意</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（2）常见偏倚及其控制</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tcBorders>
              <w:top w:val="nil"/>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5．主要优缺点</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优点及局限性</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七、筛检及其评价</w:t>
            </w:r>
          </w:p>
        </w:tc>
        <w:tc>
          <w:tcPr>
            <w:tcW w:w="1254" w:type="pct"/>
            <w:vMerge w:val="restar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（1）筛检的概念、目的、用途、类型</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（2）筛检的实施原则</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9"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nil"/>
              <w:right w:val="single" w:color="auto" w:sz="4" w:space="0"/>
            </w:tcBorders>
            <w:vAlign w:val="center"/>
          </w:tcPr>
          <w:p>
            <w:pPr>
              <w:widowControl/>
              <w:rPr>
                <w:color w:val="000000" w:themeColor="text1"/>
                <w:kern w:val="0"/>
                <w:sz w:val="22"/>
                <w:szCs w:val="22"/>
              </w:rPr>
            </w:pPr>
            <w:r>
              <w:rPr>
                <w:color w:val="000000" w:themeColor="text1"/>
                <w:kern w:val="0"/>
                <w:sz w:val="22"/>
                <w:szCs w:val="22"/>
              </w:rPr>
              <w:t>2．筛检试验的评价</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（1）筛检试验的定义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nil"/>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（2）筛检试验的评价方法</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7"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nil"/>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（3）真实性评价指标</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nil"/>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（4）可靠性评价指标</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3．筛检效果的评价</w:t>
            </w:r>
          </w:p>
        </w:tc>
        <w:tc>
          <w:tcPr>
            <w:tcW w:w="2265" w:type="pct"/>
            <w:tcBorders>
              <w:top w:val="single" w:color="auto" w:sz="4" w:space="0"/>
              <w:left w:val="nil"/>
              <w:bottom w:val="nil"/>
              <w:right w:val="single" w:color="auto" w:sz="4" w:space="0"/>
            </w:tcBorders>
            <w:vAlign w:val="center"/>
          </w:tcPr>
          <w:p>
            <w:pPr>
              <w:widowControl/>
              <w:rPr>
                <w:color w:val="000000" w:themeColor="text1"/>
                <w:kern w:val="0"/>
                <w:sz w:val="22"/>
                <w:szCs w:val="22"/>
              </w:rPr>
            </w:pPr>
            <w:r>
              <w:rPr>
                <w:color w:val="000000" w:themeColor="text1"/>
                <w:kern w:val="0"/>
                <w:sz w:val="22"/>
                <w:szCs w:val="22"/>
              </w:rPr>
              <w:t>（1）预测值及其影响因素</w:t>
            </w:r>
          </w:p>
        </w:tc>
        <w:tc>
          <w:tcPr>
            <w:tcW w:w="543" w:type="pct"/>
            <w:tcBorders>
              <w:top w:val="single" w:color="auto" w:sz="4" w:space="0"/>
              <w:left w:val="nil"/>
              <w:bottom w:val="nil"/>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81"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nil"/>
              <w:right w:val="single" w:color="auto" w:sz="4" w:space="0"/>
            </w:tcBorders>
            <w:vAlign w:val="center"/>
          </w:tcPr>
          <w:p>
            <w:pPr>
              <w:widowControl/>
              <w:rPr>
                <w:color w:val="000000" w:themeColor="text1"/>
                <w:kern w:val="0"/>
                <w:sz w:val="22"/>
                <w:szCs w:val="22"/>
              </w:rPr>
            </w:pPr>
            <w:r>
              <w:rPr>
                <w:color w:val="000000" w:themeColor="text1"/>
                <w:sz w:val="22"/>
                <w:szCs w:val="22"/>
              </w:rPr>
              <w:t>（2）生物学效果评价指标</w:t>
            </w:r>
          </w:p>
        </w:tc>
        <w:tc>
          <w:tcPr>
            <w:tcW w:w="543" w:type="pct"/>
            <w:tcBorders>
              <w:top w:val="single" w:color="auto" w:sz="4" w:space="0"/>
              <w:left w:val="nil"/>
              <w:bottom w:val="nil"/>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nil"/>
              <w:right w:val="single" w:color="auto" w:sz="4" w:space="0"/>
            </w:tcBorders>
            <w:vAlign w:val="center"/>
          </w:tcPr>
          <w:p>
            <w:pPr>
              <w:widowControl/>
              <w:rPr>
                <w:color w:val="000000" w:themeColor="text1"/>
                <w:kern w:val="0"/>
                <w:sz w:val="22"/>
                <w:szCs w:val="22"/>
              </w:rPr>
            </w:pPr>
            <w:r>
              <w:rPr>
                <w:color w:val="000000" w:themeColor="text1"/>
                <w:sz w:val="22"/>
                <w:szCs w:val="22"/>
              </w:rPr>
              <w:t>（3）</w:t>
            </w:r>
            <w:r>
              <w:rPr>
                <w:rFonts w:hint="eastAsia"/>
                <w:color w:val="000000" w:themeColor="text1"/>
                <w:sz w:val="22"/>
                <w:szCs w:val="22"/>
              </w:rPr>
              <w:t>主要偏倚及其控制</w:t>
            </w:r>
          </w:p>
        </w:tc>
        <w:tc>
          <w:tcPr>
            <w:tcW w:w="543" w:type="pct"/>
            <w:tcBorders>
              <w:top w:val="single" w:color="auto" w:sz="4" w:space="0"/>
              <w:left w:val="nil"/>
              <w:bottom w:val="nil"/>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八、病因与因果关系推断</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1．病因的概念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（1）基本概念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（2）疾病发生的多因性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2．病因研究的方法与步骤</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1</w:t>
            </w:r>
            <w:r>
              <w:rPr>
                <w:rFonts w:hint="eastAsia"/>
                <w:color w:val="000000" w:themeColor="text1"/>
                <w:kern w:val="0"/>
                <w:sz w:val="22"/>
                <w:szCs w:val="22"/>
              </w:rPr>
              <w:t>）主要方法</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2</w:t>
            </w:r>
            <w:r>
              <w:rPr>
                <w:rFonts w:hint="eastAsia"/>
                <w:color w:val="000000" w:themeColor="text1"/>
                <w:kern w:val="0"/>
                <w:sz w:val="22"/>
                <w:szCs w:val="22"/>
              </w:rPr>
              <w:t>）实施步骤</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3．流行病学病因推断</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（1）关联与因果</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（2）因果推断的基本原则</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九、预防策略</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1．基本概念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（1）健康及其影响因素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sz w:val="22"/>
                <w:szCs w:val="22"/>
              </w:rPr>
            </w:pPr>
            <w:r>
              <w:rPr>
                <w:color w:val="000000" w:themeColor="text1"/>
                <w:sz w:val="22"/>
                <w:szCs w:val="22"/>
              </w:rPr>
              <w:t>（2）医学模式的发展</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2．疾病的三级预防</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（1）第一级预防</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（2）第二级预防</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（3）第三级预防</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3．健康保护与健康促进</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sz w:val="22"/>
                <w:szCs w:val="22"/>
              </w:rPr>
            </w:pPr>
            <w:r>
              <w:rPr>
                <w:color w:val="000000" w:themeColor="text1"/>
                <w:sz w:val="22"/>
                <w:szCs w:val="22"/>
              </w:rPr>
              <w:t>（1）健康保护的概念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（2）健康促进的概念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4．高危策略与全人群策略</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w:t>
            </w:r>
            <w:r>
              <w:rPr>
                <w:color w:val="000000" w:themeColor="text1"/>
                <w:kern w:val="0"/>
                <w:sz w:val="22"/>
                <w:szCs w:val="22"/>
              </w:rPr>
              <w:t>优点及局限性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十、公共卫生监测</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（1）基本概念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（2）目的和意义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left w:val="single" w:color="auto" w:sz="4" w:space="0"/>
              <w:bottom w:val="nil"/>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sz w:val="22"/>
                <w:szCs w:val="22"/>
              </w:rPr>
            </w:pPr>
            <w:r>
              <w:rPr>
                <w:color w:val="000000" w:themeColor="text1"/>
                <w:sz w:val="22"/>
                <w:szCs w:val="22"/>
              </w:rPr>
              <w:t>（3）监测的分类</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十一、传染病流行病学</w:t>
            </w:r>
          </w:p>
        </w:tc>
        <w:tc>
          <w:tcPr>
            <w:tcW w:w="1254" w:type="pct"/>
            <w:vMerge w:val="restart"/>
            <w:tcBorders>
              <w:top w:val="single" w:color="auto" w:sz="4" w:space="0"/>
              <w:left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1．传染过程</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w:t>
            </w:r>
            <w:r>
              <w:rPr>
                <w:rFonts w:hint="eastAsia"/>
                <w:color w:val="000000" w:themeColor="text1"/>
                <w:sz w:val="22"/>
                <w:szCs w:val="22"/>
              </w:rPr>
              <w:t>概念及传染过程的三要素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（2）病原体</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（3）宿主：各种防御机制，遗传易感性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sz w:val="22"/>
                <w:szCs w:val="22"/>
              </w:rPr>
            </w:pPr>
            <w:r>
              <w:rPr>
                <w:rFonts w:hint="eastAsia"/>
                <w:color w:val="000000" w:themeColor="text1"/>
                <w:sz w:val="22"/>
                <w:szCs w:val="22"/>
              </w:rPr>
              <w:t>（4）</w:t>
            </w:r>
            <w:r>
              <w:rPr>
                <w:color w:val="000000" w:themeColor="text1"/>
                <w:sz w:val="22"/>
                <w:szCs w:val="22"/>
              </w:rPr>
              <w:t>传染过程的结局</w:t>
            </w:r>
            <w:r>
              <w:rPr>
                <w:rFonts w:hint="eastAsia"/>
                <w:color w:val="000000" w:themeColor="text1"/>
                <w:sz w:val="22"/>
                <w:szCs w:val="22"/>
              </w:rPr>
              <w:t>（感染谱）及其流行病学意义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2．传染源</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（1）定义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（2）种类</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（3）潜伏期、传染期的概念及流行病学意义</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3．传播途径</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（1）传播因素及传播途径的概念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（2）各种传播途径传播的特点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（3）垂直传播及水平传播的概念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4．人群易感性</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（1）影响人群易感性的因素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（2）人群易感性与流行的关系</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5．流行过程</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（1）疫源地发生条件、范围及消灭条件</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（2）影响流行过程的因素：自然因素及社会因素</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6．传染病的预防策略与措施</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（1）预防与控制策略</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（2）疫情管理：报告病种类别、责任报告人、报告时限、疫情报告工作考核</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（3）针对传染源的措施</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（4）针对传播途径的措施</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（5）针对易感人群的措施</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（6）传染病暴发的应急措施</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7．免疫规划及其评价</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（1）免疫种类</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（2）免疫规划</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sz w:val="22"/>
                <w:szCs w:val="22"/>
              </w:rPr>
              <w:t>（3）预防接种的效果评价</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十二、暴发调查</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1．基本概念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（1）暴发的概念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（2）常见暴发的种类</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2．方法和步骤</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w:t>
            </w:r>
            <w:r>
              <w:rPr>
                <w:rFonts w:hint="eastAsia"/>
                <w:color w:val="000000" w:themeColor="text1"/>
                <w:kern w:val="0"/>
                <w:sz w:val="22"/>
                <w:szCs w:val="22"/>
              </w:rPr>
              <w:t>实施步骤</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w:t>
            </w:r>
            <w:r>
              <w:rPr>
                <w:rFonts w:hint="eastAsia"/>
                <w:color w:val="000000" w:themeColor="text1"/>
                <w:kern w:val="0"/>
                <w:sz w:val="22"/>
                <w:szCs w:val="22"/>
              </w:rPr>
              <w:t>不同原因暴发的调查重点（传染病、食物中毒、其他公共卫生事件）</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w:t>
            </w:r>
            <w:r>
              <w:rPr>
                <w:rFonts w:hint="eastAsia"/>
                <w:color w:val="000000" w:themeColor="text1"/>
                <w:kern w:val="0"/>
                <w:sz w:val="22"/>
                <w:szCs w:val="22"/>
              </w:rPr>
              <w:t>3</w:t>
            </w:r>
            <w:r>
              <w:rPr>
                <w:color w:val="000000" w:themeColor="text1"/>
                <w:kern w:val="0"/>
                <w:sz w:val="22"/>
                <w:szCs w:val="22"/>
              </w:rPr>
              <w:t>）处置原则</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hAnsi="宋体"/>
                <w:color w:val="000000" w:themeColor="text1"/>
                <w:sz w:val="22"/>
                <w:szCs w:val="22"/>
              </w:rPr>
              <w:t>十三、慢性非传染性疾病的流行病学</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1</w:t>
            </w:r>
            <w:r>
              <w:rPr>
                <w:color w:val="000000" w:themeColor="text1"/>
                <w:kern w:val="0"/>
                <w:sz w:val="22"/>
                <w:szCs w:val="22"/>
              </w:rPr>
              <w:t>．</w:t>
            </w:r>
            <w:r>
              <w:rPr>
                <w:rFonts w:hint="eastAsia" w:hAnsi="宋体"/>
                <w:color w:val="000000" w:themeColor="text1"/>
                <w:sz w:val="22"/>
                <w:szCs w:val="22"/>
              </w:rPr>
              <w:t>概念</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）慢性病的基本概念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）主要病种</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3</w:t>
            </w:r>
            <w:r>
              <w:rPr>
                <w:rFonts w:hint="eastAsia" w:hAnsi="宋体"/>
                <w:color w:val="000000" w:themeColor="text1"/>
                <w:sz w:val="22"/>
                <w:szCs w:val="22"/>
              </w:rPr>
              <w:t>）主要慢性病的疾病负担</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4</w:t>
            </w:r>
            <w:r>
              <w:rPr>
                <w:rFonts w:hint="eastAsia" w:hAnsi="宋体"/>
                <w:color w:val="000000" w:themeColor="text1"/>
                <w:sz w:val="22"/>
                <w:szCs w:val="22"/>
              </w:rPr>
              <w:t>）主要危险因素</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color w:val="000000" w:themeColor="text1"/>
                <w:kern w:val="0"/>
                <w:sz w:val="22"/>
                <w:szCs w:val="22"/>
              </w:rPr>
              <w:t>2</w:t>
            </w:r>
            <w:r>
              <w:rPr>
                <w:color w:val="000000" w:themeColor="text1"/>
                <w:kern w:val="0"/>
                <w:sz w:val="22"/>
                <w:szCs w:val="22"/>
              </w:rPr>
              <w:t>．</w:t>
            </w:r>
            <w:r>
              <w:rPr>
                <w:rFonts w:hint="eastAsia" w:hAnsi="宋体"/>
                <w:color w:val="000000" w:themeColor="text1"/>
                <w:sz w:val="22"/>
                <w:szCs w:val="22"/>
              </w:rPr>
              <w:t>防控策略及措施</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）策略</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）三级预防措施</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hAnsi="宋体"/>
                <w:color w:val="000000" w:themeColor="text1"/>
                <w:sz w:val="22"/>
                <w:szCs w:val="22"/>
              </w:rPr>
              <w:t>十四、</w:t>
            </w:r>
            <w:r>
              <w:rPr>
                <w:rFonts w:hint="eastAsia"/>
                <w:color w:val="000000" w:themeColor="text1"/>
                <w:kern w:val="0"/>
                <w:sz w:val="22"/>
                <w:szCs w:val="22"/>
              </w:rPr>
              <w:t>高血压</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1</w:t>
            </w:r>
            <w:r>
              <w:rPr>
                <w:color w:val="000000" w:themeColor="text1"/>
                <w:kern w:val="0"/>
                <w:sz w:val="22"/>
                <w:szCs w:val="22"/>
              </w:rPr>
              <w:t>．</w:t>
            </w:r>
            <w:r>
              <w:rPr>
                <w:rFonts w:hint="eastAsia"/>
                <w:color w:val="000000" w:themeColor="text1"/>
                <w:kern w:val="0"/>
                <w:sz w:val="22"/>
                <w:szCs w:val="22"/>
              </w:rPr>
              <w:t>基本特征</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（1）原发和继发性高血压的概念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）病因和危险因素</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3</w:t>
            </w:r>
            <w:r>
              <w:rPr>
                <w:rFonts w:hint="eastAsia" w:hAnsi="宋体"/>
                <w:color w:val="000000" w:themeColor="text1"/>
                <w:sz w:val="22"/>
                <w:szCs w:val="22"/>
              </w:rPr>
              <w:t>）流行特点和防控状况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4</w:t>
            </w:r>
            <w:r>
              <w:rPr>
                <w:rFonts w:hint="eastAsia" w:hAnsi="宋体"/>
                <w:color w:val="000000" w:themeColor="text1"/>
                <w:sz w:val="22"/>
                <w:szCs w:val="22"/>
              </w:rPr>
              <w:t>）诊断与分级</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5</w:t>
            </w:r>
            <w:r>
              <w:rPr>
                <w:rFonts w:hint="eastAsia" w:hAnsi="宋体"/>
                <w:color w:val="000000" w:themeColor="text1"/>
                <w:sz w:val="22"/>
                <w:szCs w:val="22"/>
              </w:rPr>
              <w:t>）常见并发症</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2</w:t>
            </w:r>
            <w:r>
              <w:rPr>
                <w:color w:val="000000" w:themeColor="text1"/>
                <w:kern w:val="0"/>
                <w:sz w:val="22"/>
                <w:szCs w:val="22"/>
              </w:rPr>
              <w:t>．</w:t>
            </w:r>
            <w:r>
              <w:rPr>
                <w:rFonts w:hint="eastAsia" w:hAnsi="宋体"/>
                <w:color w:val="000000" w:themeColor="text1"/>
                <w:sz w:val="22"/>
                <w:szCs w:val="22"/>
              </w:rPr>
              <w:t>防控策略</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（1）高危人群判断标准</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（2）三级预防措施</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3</w:t>
            </w:r>
            <w:r>
              <w:rPr>
                <w:rFonts w:hint="eastAsia" w:hAnsi="宋体"/>
                <w:color w:val="000000" w:themeColor="text1"/>
                <w:sz w:val="22"/>
                <w:szCs w:val="22"/>
              </w:rPr>
              <w:t>）健康管理服务</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hAnsi="宋体"/>
                <w:color w:val="000000" w:themeColor="text1"/>
                <w:sz w:val="22"/>
                <w:szCs w:val="22"/>
              </w:rPr>
              <w:t>十五、</w:t>
            </w:r>
            <w:r>
              <w:rPr>
                <w:rFonts w:hint="eastAsia"/>
                <w:color w:val="000000" w:themeColor="text1"/>
                <w:kern w:val="0"/>
                <w:sz w:val="22"/>
                <w:szCs w:val="22"/>
              </w:rPr>
              <w:t>糖尿病</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1</w:t>
            </w:r>
            <w:r>
              <w:rPr>
                <w:color w:val="000000" w:themeColor="text1"/>
                <w:kern w:val="0"/>
                <w:sz w:val="22"/>
                <w:szCs w:val="22"/>
              </w:rPr>
              <w:t>．</w:t>
            </w:r>
            <w:r>
              <w:rPr>
                <w:rFonts w:hint="eastAsia"/>
                <w:color w:val="000000" w:themeColor="text1"/>
                <w:kern w:val="0"/>
                <w:sz w:val="22"/>
                <w:szCs w:val="22"/>
              </w:rPr>
              <w:t>基本特征</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）概念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）病因和危险因素</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3</w:t>
            </w:r>
            <w:r>
              <w:rPr>
                <w:rFonts w:hint="eastAsia" w:hAnsi="宋体"/>
                <w:color w:val="000000" w:themeColor="text1"/>
                <w:sz w:val="22"/>
                <w:szCs w:val="22"/>
              </w:rPr>
              <w:t>）流行特点和防控状况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4</w:t>
            </w:r>
            <w:r>
              <w:rPr>
                <w:rFonts w:hint="eastAsia" w:hAnsi="宋体"/>
                <w:color w:val="000000" w:themeColor="text1"/>
                <w:sz w:val="22"/>
                <w:szCs w:val="22"/>
              </w:rPr>
              <w:t>）诊断与分型</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5</w:t>
            </w:r>
            <w:r>
              <w:rPr>
                <w:rFonts w:hint="eastAsia" w:hAnsi="宋体"/>
                <w:color w:val="000000" w:themeColor="text1"/>
                <w:sz w:val="22"/>
                <w:szCs w:val="22"/>
              </w:rPr>
              <w:t>）常见并发症</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2</w:t>
            </w:r>
            <w:r>
              <w:rPr>
                <w:color w:val="000000" w:themeColor="text1"/>
                <w:kern w:val="0"/>
                <w:sz w:val="22"/>
                <w:szCs w:val="22"/>
              </w:rPr>
              <w:t>．</w:t>
            </w:r>
            <w:r>
              <w:rPr>
                <w:rFonts w:hint="eastAsia"/>
                <w:color w:val="000000" w:themeColor="text1"/>
                <w:kern w:val="0"/>
                <w:sz w:val="22"/>
                <w:szCs w:val="22"/>
              </w:rPr>
              <w:t>防控策略</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）高危人群判断标准</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）三级预防措施</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tcPr>
          <w:p>
            <w:pPr>
              <w:widowControl/>
              <w:rPr>
                <w:rFonts w:eastAsiaTheme="minorEastAsia"/>
                <w:color w:val="000000" w:themeColor="text1"/>
                <w:sz w:val="22"/>
                <w:szCs w:val="22"/>
              </w:rPr>
            </w:pPr>
            <w:r>
              <w:rPr>
                <w:rFonts w:hint="eastAsia"/>
                <w:color w:val="000000" w:themeColor="text1"/>
              </w:rPr>
              <w:t>（</w:t>
            </w:r>
            <w:r>
              <w:rPr>
                <w:color w:val="000000" w:themeColor="text1"/>
              </w:rPr>
              <w:t>3</w:t>
            </w:r>
            <w:r>
              <w:rPr>
                <w:rFonts w:hint="eastAsia"/>
                <w:color w:val="000000" w:themeColor="text1"/>
              </w:rPr>
              <w:t>）健康管理服务</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hAnsi="宋体"/>
                <w:color w:val="000000" w:themeColor="text1"/>
                <w:sz w:val="22"/>
                <w:szCs w:val="22"/>
              </w:rPr>
              <w:t>十六、</w:t>
            </w:r>
            <w:r>
              <w:rPr>
                <w:rFonts w:hint="eastAsia"/>
                <w:color w:val="000000" w:themeColor="text1"/>
                <w:kern w:val="0"/>
                <w:sz w:val="22"/>
                <w:szCs w:val="22"/>
              </w:rPr>
              <w:t>恶性肿瘤</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1</w:t>
            </w:r>
            <w:r>
              <w:rPr>
                <w:color w:val="000000" w:themeColor="text1"/>
                <w:kern w:val="0"/>
                <w:sz w:val="22"/>
                <w:szCs w:val="22"/>
              </w:rPr>
              <w:t>．</w:t>
            </w:r>
            <w:r>
              <w:rPr>
                <w:rFonts w:hint="eastAsia"/>
                <w:color w:val="000000" w:themeColor="text1"/>
                <w:kern w:val="0"/>
                <w:sz w:val="22"/>
                <w:szCs w:val="22"/>
              </w:rPr>
              <w:t>基本特征</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）概念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（2）流行特点和防控状况</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（3）病因和危险因素</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（4）常见恶性肿瘤</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2</w:t>
            </w:r>
            <w:r>
              <w:rPr>
                <w:color w:val="000000" w:themeColor="text1"/>
                <w:kern w:val="0"/>
                <w:sz w:val="22"/>
                <w:szCs w:val="22"/>
              </w:rPr>
              <w:t>．</w:t>
            </w:r>
            <w:r>
              <w:rPr>
                <w:rFonts w:hint="eastAsia"/>
                <w:color w:val="000000" w:themeColor="text1"/>
                <w:kern w:val="0"/>
                <w:sz w:val="22"/>
                <w:szCs w:val="22"/>
              </w:rPr>
              <w:t>防控策略及措施</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）高危人群判断标准</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hAnsi="宋体"/>
                <w:color w:val="000000" w:themeColor="text1"/>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hAnsi="宋体"/>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）防控策略</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（3）三级预防措施</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hAnsi="宋体"/>
                <w:color w:val="000000" w:themeColor="text1"/>
                <w:sz w:val="22"/>
                <w:szCs w:val="22"/>
              </w:rPr>
              <w:t>十七、</w:t>
            </w:r>
            <w:r>
              <w:rPr>
                <w:rFonts w:hint="eastAsia"/>
                <w:color w:val="000000" w:themeColor="text1"/>
                <w:kern w:val="0"/>
                <w:sz w:val="22"/>
                <w:szCs w:val="22"/>
              </w:rPr>
              <w:t>慢性非传染性疾病调查、监测与评估</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1</w:t>
            </w:r>
            <w:r>
              <w:rPr>
                <w:color w:val="000000" w:themeColor="text1"/>
                <w:kern w:val="0"/>
                <w:sz w:val="22"/>
                <w:szCs w:val="22"/>
              </w:rPr>
              <w:t>．</w:t>
            </w:r>
            <w:r>
              <w:rPr>
                <w:rFonts w:hint="eastAsia"/>
                <w:color w:val="000000" w:themeColor="text1"/>
                <w:kern w:val="0"/>
                <w:sz w:val="22"/>
                <w:szCs w:val="22"/>
              </w:rPr>
              <w:t>慢性病及其危险因素调查</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）调查目的和对象</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）调查内容与方法</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3</w:t>
            </w:r>
            <w:r>
              <w:rPr>
                <w:rFonts w:hint="eastAsia" w:hAnsi="宋体"/>
                <w:color w:val="000000" w:themeColor="text1"/>
                <w:sz w:val="22"/>
                <w:szCs w:val="22"/>
              </w:rPr>
              <w:t>）现场调查工作流程</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4</w:t>
            </w:r>
            <w:r>
              <w:rPr>
                <w:rFonts w:hint="eastAsia" w:hAnsi="宋体"/>
                <w:color w:val="000000" w:themeColor="text1"/>
                <w:sz w:val="22"/>
                <w:szCs w:val="22"/>
              </w:rPr>
              <w:t>）资料分析、调查报告的撰写</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2</w:t>
            </w:r>
            <w:r>
              <w:rPr>
                <w:color w:val="000000" w:themeColor="text1"/>
                <w:kern w:val="0"/>
                <w:sz w:val="22"/>
                <w:szCs w:val="22"/>
              </w:rPr>
              <w:t>．</w:t>
            </w:r>
            <w:r>
              <w:rPr>
                <w:rFonts w:hint="eastAsia" w:hAnsi="宋体"/>
                <w:color w:val="000000" w:themeColor="text1"/>
                <w:sz w:val="22"/>
                <w:szCs w:val="22"/>
              </w:rPr>
              <w:t>慢性病相关信息报告</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1</w:t>
            </w:r>
            <w:r>
              <w:rPr>
                <w:rFonts w:hint="eastAsia" w:hAnsi="宋体"/>
                <w:color w:val="000000" w:themeColor="text1"/>
                <w:sz w:val="22"/>
                <w:szCs w:val="22"/>
              </w:rPr>
              <w:t>）死因监测</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hAnsi="宋体"/>
                <w:color w:val="000000" w:themeColor="text1"/>
                <w:sz w:val="22"/>
                <w:szCs w:val="22"/>
              </w:rPr>
              <w:t>（</w:t>
            </w:r>
            <w:r>
              <w:rPr>
                <w:rFonts w:hAnsi="宋体"/>
                <w:color w:val="000000" w:themeColor="text1"/>
                <w:sz w:val="22"/>
                <w:szCs w:val="22"/>
              </w:rPr>
              <w:t>2</w:t>
            </w:r>
            <w:r>
              <w:rPr>
                <w:rFonts w:hint="eastAsia" w:hAnsi="宋体"/>
                <w:color w:val="000000" w:themeColor="text1"/>
                <w:sz w:val="22"/>
                <w:szCs w:val="22"/>
              </w:rPr>
              <w:t>）肿瘤登记</w:t>
            </w:r>
          </w:p>
        </w:tc>
        <w:tc>
          <w:tcPr>
            <w:tcW w:w="543" w:type="pct"/>
            <w:tcBorders>
              <w:top w:val="single" w:color="auto" w:sz="4" w:space="0"/>
              <w:left w:val="nil"/>
              <w:bottom w:val="single" w:color="auto" w:sz="4" w:space="0"/>
              <w:right w:val="single" w:color="auto" w:sz="4" w:space="0"/>
            </w:tcBorders>
          </w:tcPr>
          <w:p>
            <w:pPr>
              <w:widowControl/>
              <w:jc w:val="center"/>
              <w:rPr>
                <w:rFonts w:hAnsi="宋体"/>
                <w:color w:val="000000" w:themeColor="text1"/>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color w:val="000000" w:themeColor="text1"/>
                <w:kern w:val="0"/>
                <w:sz w:val="22"/>
                <w:szCs w:val="22"/>
              </w:rPr>
              <w:t>（3）心脑血管疾病发病报告</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Ansi="宋体"/>
                <w:color w:val="000000" w:themeColor="text1"/>
                <w:sz w:val="22"/>
                <w:szCs w:val="22"/>
              </w:rPr>
              <w:t>3</w:t>
            </w:r>
            <w:r>
              <w:rPr>
                <w:color w:val="000000" w:themeColor="text1"/>
                <w:kern w:val="0"/>
                <w:sz w:val="22"/>
                <w:szCs w:val="22"/>
              </w:rPr>
              <w:t>．</w:t>
            </w:r>
            <w:r>
              <w:rPr>
                <w:rFonts w:hint="eastAsia"/>
                <w:color w:val="000000" w:themeColor="text1"/>
                <w:kern w:val="0"/>
                <w:sz w:val="22"/>
                <w:szCs w:val="22"/>
              </w:rPr>
              <w:t>慢性病三级预防的评估</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color w:val="000000" w:themeColor="text1"/>
                <w:kern w:val="0"/>
                <w:sz w:val="22"/>
                <w:szCs w:val="22"/>
              </w:rPr>
              <w:t>（1）过程评估</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sz w:val="22"/>
                <w:szCs w:val="22"/>
              </w:rPr>
            </w:pPr>
            <w:r>
              <w:rPr>
                <w:rFonts w:hint="eastAsia"/>
                <w:color w:val="000000" w:themeColor="text1"/>
                <w:kern w:val="0"/>
                <w:sz w:val="22"/>
                <w:szCs w:val="22"/>
              </w:rPr>
              <w:t>（2）效果评估</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hint="eastAsia" w:eastAsiaTheme="minorEastAsia"/>
                <w:color w:val="000000" w:themeColor="text1"/>
                <w:kern w:val="0"/>
                <w:sz w:val="22"/>
                <w:szCs w:val="22"/>
              </w:rPr>
              <w:t>十八、伤害流行病学</w:t>
            </w:r>
          </w:p>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w:t>
            </w:r>
            <w:r>
              <w:rPr>
                <w:rFonts w:hint="eastAsia" w:eastAsiaTheme="minorEastAsia"/>
                <w:color w:val="000000" w:themeColor="text1"/>
                <w:sz w:val="22"/>
                <w:szCs w:val="22"/>
              </w:rPr>
              <w:t>．</w:t>
            </w:r>
            <w:r>
              <w:rPr>
                <w:rFonts w:hint="eastAsia" w:eastAsiaTheme="minorEastAsia"/>
                <w:color w:val="000000" w:themeColor="text1"/>
                <w:kern w:val="0"/>
                <w:sz w:val="22"/>
                <w:szCs w:val="22"/>
              </w:rPr>
              <w:t>基本概念</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eastAsiaTheme="minorEastAsia"/>
                <w:color w:val="000000" w:themeColor="text1"/>
                <w:sz w:val="22"/>
                <w:szCs w:val="22"/>
              </w:rPr>
              <w:t>（</w:t>
            </w:r>
            <w:r>
              <w:rPr>
                <w:rFonts w:eastAsiaTheme="minorEastAsia"/>
                <w:color w:val="000000" w:themeColor="text1"/>
                <w:sz w:val="22"/>
                <w:szCs w:val="22"/>
              </w:rPr>
              <w:t>1</w:t>
            </w:r>
            <w:r>
              <w:rPr>
                <w:rFonts w:hint="eastAsia" w:eastAsiaTheme="minorEastAsia"/>
                <w:color w:val="000000" w:themeColor="text1"/>
                <w:sz w:val="22"/>
                <w:szCs w:val="22"/>
              </w:rPr>
              <w:t>）伤害的基本概念及主要分类</w:t>
            </w:r>
          </w:p>
        </w:tc>
        <w:tc>
          <w:tcPr>
            <w:tcW w:w="543" w:type="pct"/>
            <w:tcBorders>
              <w:top w:val="single" w:color="auto" w:sz="4" w:space="0"/>
              <w:left w:val="nil"/>
              <w:bottom w:val="single" w:color="auto" w:sz="4" w:space="0"/>
              <w:right w:val="single" w:color="auto" w:sz="4" w:space="0"/>
            </w:tcBorders>
          </w:tcPr>
          <w:p>
            <w:pPr>
              <w:widowControl/>
              <w:jc w:val="center"/>
              <w:rPr>
                <w:rFonts w:eastAsiaTheme="minorEastAsia"/>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eastAsiaTheme="minorEastAsia"/>
                <w:color w:val="000000" w:themeColor="text1"/>
                <w:sz w:val="22"/>
                <w:szCs w:val="22"/>
              </w:rPr>
              <w:t>（</w:t>
            </w:r>
            <w:r>
              <w:rPr>
                <w:rFonts w:eastAsiaTheme="minorEastAsia"/>
                <w:color w:val="000000" w:themeColor="text1"/>
                <w:sz w:val="22"/>
                <w:szCs w:val="22"/>
              </w:rPr>
              <w:t>2</w:t>
            </w:r>
            <w:r>
              <w:rPr>
                <w:rFonts w:hint="eastAsia" w:eastAsiaTheme="minorEastAsia"/>
                <w:color w:val="000000" w:themeColor="text1"/>
                <w:sz w:val="22"/>
                <w:szCs w:val="22"/>
              </w:rPr>
              <w:t>）伤害发生的原因及影响因素</w:t>
            </w:r>
          </w:p>
        </w:tc>
        <w:tc>
          <w:tcPr>
            <w:tcW w:w="543" w:type="pct"/>
            <w:tcBorders>
              <w:top w:val="single" w:color="auto" w:sz="4" w:space="0"/>
              <w:left w:val="nil"/>
              <w:bottom w:val="single" w:color="auto" w:sz="4" w:space="0"/>
              <w:right w:val="single" w:color="auto" w:sz="4" w:space="0"/>
            </w:tcBorders>
          </w:tcPr>
          <w:p>
            <w:pPr>
              <w:widowControl/>
              <w:jc w:val="center"/>
              <w:rPr>
                <w:rFonts w:eastAsiaTheme="minorEastAsia"/>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w:t>
            </w:r>
            <w:r>
              <w:rPr>
                <w:rFonts w:hint="eastAsia" w:eastAsiaTheme="minorEastAsia"/>
                <w:color w:val="000000" w:themeColor="text1"/>
                <w:sz w:val="22"/>
                <w:szCs w:val="22"/>
              </w:rPr>
              <w:t>．预防策略与措施</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eastAsiaTheme="minorEastAsia"/>
                <w:color w:val="000000" w:themeColor="text1"/>
                <w:sz w:val="22"/>
                <w:szCs w:val="22"/>
              </w:rPr>
              <w:t>（</w:t>
            </w:r>
            <w:r>
              <w:rPr>
                <w:rFonts w:eastAsiaTheme="minorEastAsia"/>
                <w:color w:val="000000" w:themeColor="text1"/>
                <w:sz w:val="22"/>
                <w:szCs w:val="22"/>
              </w:rPr>
              <w:t>1</w:t>
            </w:r>
            <w:r>
              <w:rPr>
                <w:rFonts w:hint="eastAsia" w:eastAsiaTheme="minorEastAsia"/>
                <w:color w:val="000000" w:themeColor="text1"/>
                <w:sz w:val="22"/>
                <w:szCs w:val="22"/>
              </w:rPr>
              <w:t>）策略</w:t>
            </w:r>
          </w:p>
        </w:tc>
        <w:tc>
          <w:tcPr>
            <w:tcW w:w="543" w:type="pct"/>
            <w:tcBorders>
              <w:top w:val="single" w:color="auto" w:sz="4" w:space="0"/>
              <w:left w:val="nil"/>
              <w:bottom w:val="single" w:color="auto" w:sz="4" w:space="0"/>
              <w:right w:val="single" w:color="auto" w:sz="4" w:space="0"/>
            </w:tcBorders>
          </w:tcPr>
          <w:p>
            <w:pPr>
              <w:widowControl/>
              <w:jc w:val="center"/>
              <w:rPr>
                <w:rFonts w:eastAsiaTheme="minorEastAsia"/>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eastAsiaTheme="minorEastAsia"/>
                <w:color w:val="000000" w:themeColor="text1"/>
                <w:sz w:val="22"/>
                <w:szCs w:val="22"/>
              </w:rPr>
              <w:t>（</w:t>
            </w:r>
            <w:r>
              <w:rPr>
                <w:rFonts w:eastAsiaTheme="minorEastAsia"/>
                <w:color w:val="000000" w:themeColor="text1"/>
                <w:sz w:val="22"/>
                <w:szCs w:val="22"/>
              </w:rPr>
              <w:t>2</w:t>
            </w:r>
            <w:r>
              <w:rPr>
                <w:rFonts w:hint="eastAsia" w:eastAsiaTheme="minorEastAsia"/>
                <w:color w:val="000000" w:themeColor="text1"/>
                <w:sz w:val="22"/>
                <w:szCs w:val="22"/>
              </w:rPr>
              <w:t>）措施</w:t>
            </w:r>
          </w:p>
        </w:tc>
        <w:tc>
          <w:tcPr>
            <w:tcW w:w="543" w:type="pct"/>
            <w:tcBorders>
              <w:top w:val="single" w:color="auto" w:sz="4" w:space="0"/>
              <w:left w:val="nil"/>
              <w:bottom w:val="single" w:color="auto" w:sz="4" w:space="0"/>
              <w:right w:val="single" w:color="auto" w:sz="4" w:space="0"/>
            </w:tcBorders>
          </w:tcPr>
          <w:p>
            <w:pPr>
              <w:widowControl/>
              <w:jc w:val="center"/>
              <w:rPr>
                <w:rFonts w:eastAsiaTheme="minorEastAsia"/>
                <w:color w:val="000000" w:themeColor="text1"/>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十</w:t>
            </w:r>
            <w:r>
              <w:rPr>
                <w:rFonts w:hint="eastAsia" w:eastAsiaTheme="minorEastAsia"/>
                <w:color w:val="000000" w:themeColor="text1"/>
                <w:kern w:val="0"/>
                <w:sz w:val="22"/>
                <w:szCs w:val="22"/>
              </w:rPr>
              <w:t>九</w:t>
            </w:r>
            <w:r>
              <w:rPr>
                <w:rFonts w:eastAsiaTheme="minorEastAsia"/>
                <w:color w:val="000000" w:themeColor="text1"/>
                <w:kern w:val="0"/>
                <w:sz w:val="22"/>
                <w:szCs w:val="22"/>
              </w:rPr>
              <w:t>、流行性感冒</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1．病原学</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（1）类型</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（2）病原学特点</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2．流行过程</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（1）传染源</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（2）传播途径</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（3）人群易感性</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3．流行特征</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（1）地区分布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（2）时间分布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（3）人群分布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4．防治策略与措施</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（1）策略</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（2）措施</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hint="eastAsia" w:eastAsiaTheme="minorEastAsia"/>
                <w:color w:val="000000" w:themeColor="text1"/>
                <w:kern w:val="0"/>
                <w:sz w:val="22"/>
                <w:szCs w:val="22"/>
              </w:rPr>
              <w:t>二十</w:t>
            </w:r>
            <w:r>
              <w:rPr>
                <w:rFonts w:eastAsiaTheme="minorEastAsia"/>
                <w:color w:val="000000" w:themeColor="text1"/>
                <w:kern w:val="0"/>
                <w:sz w:val="22"/>
                <w:szCs w:val="22"/>
              </w:rPr>
              <w:t>、病毒性肝炎</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1．病原学</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（1）类型</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（2）病原学特点</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2．流行过程</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（1）传染源</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（2）传播途径</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（3）人群易感性</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3．流行特征</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（1）地区分布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（2）时间分布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（3）人群分布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4．防治策略与措施</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（1）策略</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（2）措施</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hint="eastAsia" w:eastAsiaTheme="minorEastAsia"/>
                <w:color w:val="000000" w:themeColor="text1"/>
                <w:kern w:val="0"/>
                <w:sz w:val="22"/>
                <w:szCs w:val="22"/>
              </w:rPr>
              <w:t>二十一</w:t>
            </w:r>
            <w:r>
              <w:rPr>
                <w:rFonts w:eastAsiaTheme="minorEastAsia"/>
                <w:color w:val="000000" w:themeColor="text1"/>
                <w:kern w:val="0"/>
                <w:sz w:val="22"/>
                <w:szCs w:val="22"/>
              </w:rPr>
              <w:t>、感染性腹泻</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1．病原学</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（1）类型</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（2）病原学特点</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2．流行过程</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（1）传染源</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（2）传播途径</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（3）人群易感性</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3．流行特征</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（1）地区分布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（2）时间分布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（3）人群分布</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4．防治策略与措施</w:t>
            </w: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（1）策略</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rFonts w:eastAsiaTheme="minorEastAsia"/>
                <w:color w:val="000000" w:themeColor="text1"/>
                <w:kern w:val="0"/>
                <w:sz w:val="22"/>
                <w:szCs w:val="22"/>
              </w:rPr>
            </w:pPr>
            <w:r>
              <w:rPr>
                <w:rFonts w:eastAsiaTheme="minorEastAsia"/>
                <w:color w:val="000000" w:themeColor="text1"/>
                <w:kern w:val="0"/>
                <w:sz w:val="22"/>
                <w:szCs w:val="22"/>
              </w:rPr>
              <w:t>（2）措施</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二十二</w:t>
            </w:r>
            <w:r>
              <w:rPr>
                <w:color w:val="000000" w:themeColor="text1"/>
                <w:kern w:val="0"/>
                <w:sz w:val="22"/>
                <w:szCs w:val="22"/>
              </w:rPr>
              <w:t>、性传播疾病、艾滋病</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1．病原学</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（1）基本概念</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（2）病原学特点</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2．流行过程</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（1）传染源</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（2）传播途径</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（3）人群易感性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3．流行特征</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（1）地区分布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（2）时间分布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（3）人群分布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4．防治策略与措施</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（1）策略</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（2）措施</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二十三</w:t>
            </w:r>
            <w:r>
              <w:rPr>
                <w:color w:val="000000" w:themeColor="text1"/>
                <w:kern w:val="0"/>
                <w:sz w:val="22"/>
                <w:szCs w:val="22"/>
              </w:rPr>
              <w:t>、肺结核</w:t>
            </w:r>
          </w:p>
        </w:tc>
        <w:tc>
          <w:tcPr>
            <w:tcW w:w="1254" w:type="pct"/>
            <w:vMerge w:val="restar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w:t>
            </w:r>
            <w:r>
              <w:rPr>
                <w:rFonts w:eastAsiaTheme="minorEastAsia"/>
                <w:color w:val="000000" w:themeColor="text1"/>
                <w:kern w:val="0"/>
                <w:sz w:val="22"/>
                <w:szCs w:val="22"/>
              </w:rPr>
              <w:t>病原学</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w:t>
            </w:r>
            <w:r>
              <w:rPr>
                <w:rFonts w:eastAsiaTheme="minorEastAsia"/>
                <w:color w:val="000000" w:themeColor="text1"/>
                <w:kern w:val="0"/>
                <w:sz w:val="22"/>
                <w:szCs w:val="22"/>
              </w:rPr>
              <w:t>类型</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eastAsiaTheme="minorEastAsia"/>
                <w:color w:val="000000" w:themeColor="text1"/>
                <w:kern w:val="0"/>
                <w:sz w:val="22"/>
                <w:szCs w:val="22"/>
              </w:rPr>
              <w:t>（2）病原学特点</w:t>
            </w:r>
          </w:p>
        </w:tc>
        <w:tc>
          <w:tcPr>
            <w:tcW w:w="543" w:type="pct"/>
            <w:tcBorders>
              <w:top w:val="single" w:color="auto" w:sz="4" w:space="0"/>
              <w:left w:val="nil"/>
              <w:bottom w:val="single" w:color="auto" w:sz="4" w:space="0"/>
              <w:right w:val="single" w:color="auto" w:sz="4" w:space="0"/>
            </w:tcBorders>
            <w:vAlign w:val="center"/>
          </w:tcPr>
          <w:p>
            <w:pPr>
              <w:widowControl/>
              <w:jc w:val="center"/>
              <w:rPr>
                <w:rFonts w:eastAsiaTheme="minorEastAsia"/>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2．流行过程</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（1）传染源</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（2）传播途径</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（3）人群易感性</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3．流行特征</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（1）地区分布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（2）时间分布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（3）人群分布</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4．防治策略与措施</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（1）新生儿卡介苗接种</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（2）病例发现</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（3）督导短程化疗</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（4）药物预防性治疗</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（5）切断传播途径</w:t>
            </w:r>
          </w:p>
        </w:tc>
        <w:tc>
          <w:tcPr>
            <w:tcW w:w="543" w:type="pct"/>
            <w:tcBorders>
              <w:top w:val="single" w:color="auto" w:sz="4" w:space="0"/>
              <w:left w:val="nil"/>
              <w:bottom w:val="single" w:color="auto" w:sz="4" w:space="0"/>
              <w:right w:val="single" w:color="auto" w:sz="4" w:space="0"/>
            </w:tcBorders>
            <w:vAlign w:val="center"/>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二十四、医院感染管理</w:t>
            </w:r>
          </w:p>
        </w:tc>
        <w:tc>
          <w:tcPr>
            <w:tcW w:w="1254" w:type="pct"/>
            <w:vMerge w:val="restar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1</w:t>
            </w:r>
            <w:r>
              <w:rPr>
                <w:rFonts w:hint="eastAsia"/>
                <w:color w:val="000000" w:themeColor="text1"/>
                <w:kern w:val="0"/>
                <w:sz w:val="22"/>
                <w:szCs w:val="22"/>
              </w:rPr>
              <w:t>．医院感染管理概述</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1</w:t>
            </w:r>
            <w:r>
              <w:rPr>
                <w:rFonts w:hint="eastAsia"/>
                <w:color w:val="000000" w:themeColor="text1"/>
                <w:kern w:val="0"/>
                <w:sz w:val="22"/>
                <w:szCs w:val="22"/>
              </w:rPr>
              <w:t>）医院感染定义</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color w:val="000000" w:themeColor="text1"/>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2</w:t>
            </w:r>
            <w:r>
              <w:rPr>
                <w:rFonts w:hint="eastAsia"/>
                <w:color w:val="000000" w:themeColor="text1"/>
                <w:kern w:val="0"/>
                <w:sz w:val="22"/>
                <w:szCs w:val="22"/>
              </w:rPr>
              <w:t>）医院感染分类和特征</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（3）院感染管理的定义</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（4）医疗机构的感染管理组织架构</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（5）医疗机构的感染管理基本要求</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2</w:t>
            </w:r>
            <w:r>
              <w:rPr>
                <w:rFonts w:hint="eastAsia"/>
                <w:color w:val="000000" w:themeColor="text1"/>
                <w:kern w:val="0"/>
                <w:sz w:val="22"/>
                <w:szCs w:val="22"/>
              </w:rPr>
              <w:t>．医院感染的监测</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1</w:t>
            </w:r>
            <w:r>
              <w:rPr>
                <w:rFonts w:hint="eastAsia"/>
                <w:color w:val="000000" w:themeColor="text1"/>
                <w:kern w:val="0"/>
                <w:sz w:val="22"/>
                <w:szCs w:val="22"/>
              </w:rPr>
              <w:t>）医院感染监测的目的</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w:t>
            </w:r>
            <w:r>
              <w:rPr>
                <w:color w:val="000000" w:themeColor="text1"/>
                <w:kern w:val="0"/>
                <w:sz w:val="22"/>
                <w:szCs w:val="22"/>
              </w:rPr>
              <w:t>2</w:t>
            </w:r>
            <w:r>
              <w:rPr>
                <w:rFonts w:hint="eastAsia"/>
                <w:color w:val="000000" w:themeColor="text1"/>
                <w:kern w:val="0"/>
                <w:sz w:val="22"/>
                <w:szCs w:val="22"/>
              </w:rPr>
              <w:t>）医院感染监测的要求与种类</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（3）如何提升医院感染监测的能力</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restar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color w:val="000000" w:themeColor="text1"/>
                <w:kern w:val="0"/>
                <w:sz w:val="22"/>
                <w:szCs w:val="22"/>
              </w:rPr>
              <w:t>3</w:t>
            </w:r>
            <w:r>
              <w:rPr>
                <w:rFonts w:hint="eastAsia"/>
                <w:color w:val="000000" w:themeColor="text1"/>
                <w:kern w:val="0"/>
                <w:sz w:val="22"/>
                <w:szCs w:val="22"/>
              </w:rPr>
              <w:t>．医院感染的预防与控制</w:t>
            </w: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（1）原则要求</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color w:val="000000" w:themeColor="text1"/>
                <w:kern w:val="0"/>
                <w:sz w:val="22"/>
                <w:szCs w:val="22"/>
              </w:rPr>
            </w:pPr>
          </w:p>
        </w:tc>
        <w:tc>
          <w:tcPr>
            <w:tcW w:w="1254" w:type="pct"/>
            <w:vMerge w:val="continue"/>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p>
        </w:tc>
        <w:tc>
          <w:tcPr>
            <w:tcW w:w="2265" w:type="pct"/>
            <w:tcBorders>
              <w:top w:val="single" w:color="auto" w:sz="4" w:space="0"/>
              <w:left w:val="nil"/>
              <w:bottom w:val="single" w:color="auto" w:sz="4" w:space="0"/>
              <w:right w:val="single" w:color="auto" w:sz="4" w:space="0"/>
            </w:tcBorders>
            <w:vAlign w:val="center"/>
          </w:tcPr>
          <w:p>
            <w:pPr>
              <w:widowControl/>
              <w:rPr>
                <w:color w:val="000000" w:themeColor="text1"/>
                <w:kern w:val="0"/>
                <w:sz w:val="22"/>
                <w:szCs w:val="22"/>
              </w:rPr>
            </w:pPr>
            <w:r>
              <w:rPr>
                <w:rFonts w:hint="eastAsia"/>
                <w:color w:val="000000" w:themeColor="text1"/>
                <w:kern w:val="0"/>
                <w:sz w:val="22"/>
                <w:szCs w:val="22"/>
              </w:rPr>
              <w:t>（2）主要措施及其要点</w:t>
            </w:r>
          </w:p>
        </w:tc>
        <w:tc>
          <w:tcPr>
            <w:tcW w:w="543" w:type="pct"/>
            <w:tcBorders>
              <w:top w:val="single" w:color="auto" w:sz="4" w:space="0"/>
              <w:left w:val="nil"/>
              <w:bottom w:val="single" w:color="auto" w:sz="4" w:space="0"/>
              <w:right w:val="single" w:color="auto" w:sz="4" w:space="0"/>
            </w:tcBorders>
          </w:tcPr>
          <w:p>
            <w:pPr>
              <w:widowControl/>
              <w:jc w:val="center"/>
              <w:rPr>
                <w:color w:val="000000" w:themeColor="text1"/>
                <w:kern w:val="0"/>
                <w:sz w:val="22"/>
                <w:szCs w:val="22"/>
              </w:rPr>
            </w:pPr>
            <w:r>
              <w:rPr>
                <w:rFonts w:hint="eastAsia" w:hAnsi="宋体"/>
                <w:color w:val="000000" w:themeColor="text1"/>
                <w:kern w:val="0"/>
                <w:sz w:val="22"/>
                <w:szCs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5000" w:type="pct"/>
            <w:gridSpan w:val="4"/>
            <w:tcBorders>
              <w:top w:val="single" w:color="auto" w:sz="4" w:space="0"/>
              <w:bottom w:val="single" w:color="auto" w:sz="4" w:space="0"/>
            </w:tcBorders>
            <w:vAlign w:val="center"/>
          </w:tcPr>
          <w:p>
            <w:pPr>
              <w:pStyle w:val="77"/>
              <w:spacing w:before="93" w:beforeLines="30" w:after="93" w:afterLines="30"/>
            </w:pPr>
            <w:bookmarkStart w:id="34" w:name="_Toc142388622"/>
            <w:bookmarkStart w:id="35" w:name="_Toc144217065"/>
            <w:r>
              <w:rPr>
                <w:rFonts w:hint="eastAsia"/>
              </w:rPr>
              <w:t>二、</w:t>
            </w:r>
            <w:r>
              <w:t>卫生统计学</w:t>
            </w:r>
            <w:bookmarkEnd w:id="34"/>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top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top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top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top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rPr>
                <w:kern w:val="0"/>
                <w:sz w:val="22"/>
                <w:szCs w:val="22"/>
              </w:rPr>
            </w:pPr>
            <w:r>
              <w:rPr>
                <w:kern w:val="0"/>
                <w:sz w:val="22"/>
                <w:szCs w:val="22"/>
              </w:rPr>
              <w:t>一、统计学的几个基本概念</w:t>
            </w:r>
          </w:p>
        </w:tc>
        <w:tc>
          <w:tcPr>
            <w:tcW w:w="1254" w:type="pct"/>
            <w:shd w:val="clear" w:color="auto" w:fill="auto"/>
            <w:vAlign w:val="center"/>
          </w:tcPr>
          <w:p>
            <w:pPr>
              <w:widowControl/>
              <w:rPr>
                <w:kern w:val="0"/>
                <w:sz w:val="22"/>
                <w:szCs w:val="22"/>
              </w:rPr>
            </w:pPr>
            <w:r>
              <w:rPr>
                <w:kern w:val="0"/>
                <w:sz w:val="22"/>
                <w:szCs w:val="22"/>
              </w:rPr>
              <w:t>1．统计工作的步骤</w:t>
            </w:r>
          </w:p>
        </w:tc>
        <w:tc>
          <w:tcPr>
            <w:tcW w:w="2265" w:type="pct"/>
            <w:shd w:val="clear" w:color="auto" w:fill="auto"/>
            <w:vAlign w:val="center"/>
          </w:tcPr>
          <w:p>
            <w:pPr>
              <w:widowControl/>
              <w:rPr>
                <w:kern w:val="0"/>
                <w:sz w:val="22"/>
                <w:szCs w:val="22"/>
              </w:rPr>
            </w:pPr>
            <w:r>
              <w:rPr>
                <w:kern w:val="0"/>
                <w:sz w:val="22"/>
                <w:szCs w:val="22"/>
              </w:rPr>
              <w:t>统计工作的四个步骤</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2．统计学的几个基本概念</w:t>
            </w:r>
          </w:p>
        </w:tc>
        <w:tc>
          <w:tcPr>
            <w:tcW w:w="2265" w:type="pct"/>
            <w:shd w:val="clear" w:color="auto" w:fill="auto"/>
            <w:vAlign w:val="center"/>
          </w:tcPr>
          <w:p>
            <w:pPr>
              <w:widowControl/>
              <w:rPr>
                <w:kern w:val="0"/>
                <w:sz w:val="22"/>
                <w:szCs w:val="22"/>
              </w:rPr>
            </w:pPr>
            <w:r>
              <w:rPr>
                <w:kern w:val="0"/>
                <w:sz w:val="22"/>
                <w:szCs w:val="22"/>
              </w:rPr>
              <w:t>（1）同质与变异</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（2）资料的类型</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（3）总体与样本</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（4）参数和统计量</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rPr>
                <w:kern w:val="0"/>
                <w:sz w:val="22"/>
                <w:szCs w:val="22"/>
              </w:rPr>
            </w:pPr>
            <w:r>
              <w:rPr>
                <w:kern w:val="0"/>
                <w:sz w:val="22"/>
                <w:szCs w:val="22"/>
              </w:rPr>
              <w:t>（5）概率与频率</w:t>
            </w:r>
          </w:p>
        </w:tc>
        <w:tc>
          <w:tcPr>
            <w:tcW w:w="543" w:type="pct"/>
            <w:vAlign w:val="center"/>
          </w:tcPr>
          <w:p>
            <w:pPr>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二、定量资料的统计描述</w:t>
            </w:r>
          </w:p>
        </w:tc>
        <w:tc>
          <w:tcPr>
            <w:tcW w:w="1254" w:type="pct"/>
            <w:vMerge w:val="restart"/>
            <w:shd w:val="clear" w:color="auto" w:fill="auto"/>
            <w:vAlign w:val="center"/>
          </w:tcPr>
          <w:p>
            <w:pPr>
              <w:widowControl/>
              <w:rPr>
                <w:kern w:val="0"/>
                <w:sz w:val="22"/>
                <w:szCs w:val="22"/>
              </w:rPr>
            </w:pPr>
            <w:r>
              <w:rPr>
                <w:kern w:val="0"/>
                <w:sz w:val="22"/>
                <w:szCs w:val="22"/>
              </w:rPr>
              <w:t>1．定量资料的频数分布</w:t>
            </w:r>
          </w:p>
        </w:tc>
        <w:tc>
          <w:tcPr>
            <w:tcW w:w="2265" w:type="pct"/>
            <w:shd w:val="clear" w:color="auto" w:fill="auto"/>
            <w:vAlign w:val="center"/>
          </w:tcPr>
          <w:p>
            <w:pPr>
              <w:rPr>
                <w:kern w:val="0"/>
                <w:sz w:val="22"/>
                <w:szCs w:val="22"/>
              </w:rPr>
            </w:pPr>
            <w:r>
              <w:rPr>
                <w:kern w:val="0"/>
                <w:sz w:val="22"/>
                <w:szCs w:val="22"/>
              </w:rPr>
              <w:t>（1）频数分布的特征</w:t>
            </w:r>
          </w:p>
        </w:tc>
        <w:tc>
          <w:tcPr>
            <w:tcW w:w="543" w:type="pct"/>
            <w:vAlign w:val="center"/>
          </w:tcPr>
          <w:p>
            <w:pPr>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（2）频数分布的类型</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shd w:val="clear" w:color="auto" w:fill="auto"/>
            <w:vAlign w:val="center"/>
          </w:tcPr>
          <w:p>
            <w:pPr>
              <w:widowControl/>
              <w:rPr>
                <w:kern w:val="0"/>
                <w:sz w:val="22"/>
                <w:szCs w:val="22"/>
              </w:rPr>
            </w:pPr>
            <w:r>
              <w:rPr>
                <w:kern w:val="0"/>
                <w:sz w:val="22"/>
                <w:szCs w:val="22"/>
              </w:rPr>
              <w:t>2．集中位置的描述</w:t>
            </w:r>
          </w:p>
        </w:tc>
        <w:tc>
          <w:tcPr>
            <w:tcW w:w="2265" w:type="pct"/>
            <w:shd w:val="clear" w:color="auto" w:fill="auto"/>
            <w:vAlign w:val="center"/>
          </w:tcPr>
          <w:p>
            <w:pPr>
              <w:widowControl/>
              <w:rPr>
                <w:kern w:val="0"/>
                <w:sz w:val="22"/>
                <w:szCs w:val="22"/>
              </w:rPr>
            </w:pPr>
            <w:r>
              <w:rPr>
                <w:kern w:val="0"/>
                <w:sz w:val="22"/>
                <w:szCs w:val="22"/>
              </w:rPr>
              <w:t>算术平均数、几何均数、中位数</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shd w:val="clear" w:color="auto" w:fill="auto"/>
            <w:vAlign w:val="center"/>
          </w:tcPr>
          <w:p>
            <w:pPr>
              <w:widowControl/>
              <w:rPr>
                <w:kern w:val="0"/>
                <w:sz w:val="22"/>
                <w:szCs w:val="22"/>
              </w:rPr>
            </w:pPr>
            <w:r>
              <w:rPr>
                <w:kern w:val="0"/>
                <w:sz w:val="22"/>
                <w:szCs w:val="22"/>
              </w:rPr>
              <w:t>3．离散程度的描述</w:t>
            </w:r>
          </w:p>
        </w:tc>
        <w:tc>
          <w:tcPr>
            <w:tcW w:w="2265" w:type="pct"/>
            <w:shd w:val="clear" w:color="auto" w:fill="auto"/>
            <w:vAlign w:val="center"/>
          </w:tcPr>
          <w:p>
            <w:pPr>
              <w:widowControl/>
              <w:rPr>
                <w:kern w:val="0"/>
                <w:sz w:val="22"/>
                <w:szCs w:val="22"/>
              </w:rPr>
            </w:pPr>
            <w:r>
              <w:rPr>
                <w:kern w:val="0"/>
                <w:sz w:val="22"/>
                <w:szCs w:val="22"/>
              </w:rPr>
              <w:t>极差、四分位数间距、方差、标准差和变异系数</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4．正态分布</w:t>
            </w:r>
          </w:p>
        </w:tc>
        <w:tc>
          <w:tcPr>
            <w:tcW w:w="2265" w:type="pct"/>
            <w:shd w:val="clear" w:color="auto" w:fill="auto"/>
            <w:vAlign w:val="center"/>
          </w:tcPr>
          <w:p>
            <w:pPr>
              <w:widowControl/>
              <w:rPr>
                <w:kern w:val="0"/>
                <w:sz w:val="22"/>
                <w:szCs w:val="22"/>
              </w:rPr>
            </w:pPr>
            <w:r>
              <w:rPr>
                <w:kern w:val="0"/>
                <w:sz w:val="22"/>
                <w:szCs w:val="22"/>
              </w:rPr>
              <w:t>（1）正态分布的特征</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（2）正态分布曲线下面积分布规律</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（3）标准正态分布</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5．医学参考值范围</w:t>
            </w:r>
          </w:p>
        </w:tc>
        <w:tc>
          <w:tcPr>
            <w:tcW w:w="2265" w:type="pct"/>
            <w:shd w:val="clear" w:color="auto" w:fill="auto"/>
            <w:vAlign w:val="center"/>
          </w:tcPr>
          <w:p>
            <w:pPr>
              <w:widowControl/>
              <w:rPr>
                <w:kern w:val="0"/>
                <w:sz w:val="22"/>
                <w:szCs w:val="22"/>
              </w:rPr>
            </w:pPr>
            <w:r>
              <w:rPr>
                <w:kern w:val="0"/>
                <w:sz w:val="22"/>
                <w:szCs w:val="22"/>
              </w:rPr>
              <w:t>（1）正态分布法</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（2）百分位数法</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三、总体均数的估计和假设检验</w:t>
            </w:r>
          </w:p>
        </w:tc>
        <w:tc>
          <w:tcPr>
            <w:tcW w:w="1254" w:type="pct"/>
            <w:vMerge w:val="restart"/>
            <w:shd w:val="clear" w:color="auto" w:fill="auto"/>
            <w:vAlign w:val="center"/>
          </w:tcPr>
          <w:p>
            <w:pPr>
              <w:widowControl/>
              <w:rPr>
                <w:kern w:val="0"/>
                <w:sz w:val="22"/>
                <w:szCs w:val="22"/>
              </w:rPr>
            </w:pPr>
            <w:r>
              <w:rPr>
                <w:kern w:val="0"/>
                <w:sz w:val="22"/>
                <w:szCs w:val="22"/>
              </w:rPr>
              <w:t>1．均数的抽样误差</w:t>
            </w:r>
          </w:p>
        </w:tc>
        <w:tc>
          <w:tcPr>
            <w:tcW w:w="2265" w:type="pct"/>
            <w:shd w:val="clear" w:color="auto" w:fill="auto"/>
            <w:vAlign w:val="center"/>
          </w:tcPr>
          <w:p>
            <w:pPr>
              <w:widowControl/>
              <w:rPr>
                <w:kern w:val="0"/>
                <w:sz w:val="22"/>
                <w:szCs w:val="22"/>
              </w:rPr>
            </w:pPr>
            <w:r>
              <w:rPr>
                <w:kern w:val="0"/>
                <w:sz w:val="22"/>
                <w:szCs w:val="22"/>
              </w:rPr>
              <w:t>（1）均数抽样误差的概念</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（2）标准误的含义和计算</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2．</w:t>
            </w:r>
            <w:r>
              <w:rPr>
                <w:i/>
                <w:kern w:val="0"/>
                <w:sz w:val="22"/>
                <w:szCs w:val="22"/>
              </w:rPr>
              <w:t>t</w:t>
            </w:r>
            <w:r>
              <w:rPr>
                <w:kern w:val="0"/>
                <w:sz w:val="22"/>
                <w:szCs w:val="22"/>
              </w:rPr>
              <w:t>分布</w:t>
            </w:r>
          </w:p>
        </w:tc>
        <w:tc>
          <w:tcPr>
            <w:tcW w:w="2265" w:type="pct"/>
            <w:shd w:val="clear" w:color="auto" w:fill="auto"/>
            <w:vAlign w:val="center"/>
          </w:tcPr>
          <w:p>
            <w:pPr>
              <w:widowControl/>
              <w:rPr>
                <w:kern w:val="0"/>
                <w:sz w:val="22"/>
                <w:szCs w:val="22"/>
              </w:rPr>
            </w:pPr>
            <w:r>
              <w:rPr>
                <w:kern w:val="0"/>
                <w:sz w:val="22"/>
                <w:szCs w:val="22"/>
              </w:rPr>
              <w:t>（1）</w:t>
            </w:r>
            <w:r>
              <w:rPr>
                <w:i/>
                <w:kern w:val="0"/>
                <w:sz w:val="22"/>
                <w:szCs w:val="22"/>
              </w:rPr>
              <w:t>t</w:t>
            </w:r>
            <w:r>
              <w:rPr>
                <w:kern w:val="0"/>
                <w:sz w:val="22"/>
                <w:szCs w:val="22"/>
              </w:rPr>
              <w:t>分布的特征</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w:t>
            </w:r>
            <w:r>
              <w:rPr>
                <w:i/>
                <w:kern w:val="0"/>
                <w:sz w:val="22"/>
                <w:szCs w:val="22"/>
              </w:rPr>
              <w:t>t</w:t>
            </w:r>
            <w:r>
              <w:rPr>
                <w:kern w:val="0"/>
                <w:sz w:val="22"/>
                <w:szCs w:val="22"/>
              </w:rPr>
              <w:t>界值表</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3．总体均数的置信区间</w:t>
            </w:r>
          </w:p>
        </w:tc>
        <w:tc>
          <w:tcPr>
            <w:tcW w:w="2265" w:type="pct"/>
            <w:shd w:val="clear" w:color="auto" w:fill="auto"/>
            <w:vAlign w:val="center"/>
          </w:tcPr>
          <w:p>
            <w:pPr>
              <w:widowControl/>
              <w:rPr>
                <w:kern w:val="0"/>
                <w:sz w:val="22"/>
                <w:szCs w:val="22"/>
              </w:rPr>
            </w:pPr>
            <w:r>
              <w:rPr>
                <w:kern w:val="0"/>
                <w:sz w:val="22"/>
                <w:szCs w:val="22"/>
              </w:rPr>
              <w:t>（1）总体均数置信区间的概念</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（2）总体均数置信区间的含义及应用</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（3）均数置信区间与医学参考值范围的区别</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4．均数比较的假设检验</w:t>
            </w:r>
          </w:p>
        </w:tc>
        <w:tc>
          <w:tcPr>
            <w:tcW w:w="2265" w:type="pct"/>
            <w:shd w:val="clear" w:color="auto" w:fill="auto"/>
            <w:vAlign w:val="center"/>
          </w:tcPr>
          <w:p>
            <w:pPr>
              <w:widowControl/>
              <w:rPr>
                <w:kern w:val="0"/>
                <w:sz w:val="22"/>
                <w:szCs w:val="22"/>
              </w:rPr>
            </w:pPr>
            <w:r>
              <w:rPr>
                <w:kern w:val="0"/>
                <w:sz w:val="22"/>
                <w:szCs w:val="22"/>
              </w:rPr>
              <w:t>（1）假设检验的基本思想与步骤</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（2）单样本</w:t>
            </w:r>
            <w:r>
              <w:rPr>
                <w:i/>
                <w:kern w:val="0"/>
                <w:sz w:val="22"/>
                <w:szCs w:val="22"/>
              </w:rPr>
              <w:t>t</w:t>
            </w:r>
            <w:r>
              <w:rPr>
                <w:kern w:val="0"/>
                <w:sz w:val="22"/>
                <w:szCs w:val="22"/>
              </w:rPr>
              <w:t>检验</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（3）配对样本</w:t>
            </w:r>
            <w:r>
              <w:rPr>
                <w:i/>
                <w:kern w:val="0"/>
                <w:sz w:val="22"/>
                <w:szCs w:val="22"/>
              </w:rPr>
              <w:t>t</w:t>
            </w:r>
            <w:r>
              <w:rPr>
                <w:kern w:val="0"/>
                <w:sz w:val="22"/>
                <w:szCs w:val="22"/>
              </w:rPr>
              <w:t>检验</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（4）两独立样本</w:t>
            </w:r>
            <w:r>
              <w:rPr>
                <w:i/>
                <w:kern w:val="0"/>
                <w:sz w:val="22"/>
                <w:szCs w:val="22"/>
              </w:rPr>
              <w:t>t</w:t>
            </w:r>
            <w:r>
              <w:rPr>
                <w:kern w:val="0"/>
                <w:sz w:val="22"/>
                <w:szCs w:val="22"/>
              </w:rPr>
              <w:t>检验</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（5）假设检验的注意事项</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四、定性资料的统计描述</w:t>
            </w:r>
          </w:p>
        </w:tc>
        <w:tc>
          <w:tcPr>
            <w:tcW w:w="1254" w:type="pct"/>
            <w:shd w:val="clear" w:color="auto" w:fill="auto"/>
            <w:vAlign w:val="center"/>
          </w:tcPr>
          <w:p>
            <w:pPr>
              <w:widowControl/>
              <w:rPr>
                <w:kern w:val="0"/>
                <w:sz w:val="22"/>
                <w:szCs w:val="22"/>
              </w:rPr>
            </w:pPr>
            <w:r>
              <w:rPr>
                <w:kern w:val="0"/>
                <w:sz w:val="22"/>
                <w:szCs w:val="22"/>
              </w:rPr>
              <w:t>1．常用相对数</w:t>
            </w:r>
          </w:p>
        </w:tc>
        <w:tc>
          <w:tcPr>
            <w:tcW w:w="2265" w:type="pct"/>
            <w:shd w:val="clear" w:color="auto" w:fill="auto"/>
            <w:vAlign w:val="center"/>
          </w:tcPr>
          <w:p>
            <w:pPr>
              <w:widowControl/>
              <w:rPr>
                <w:kern w:val="0"/>
                <w:sz w:val="22"/>
                <w:szCs w:val="22"/>
              </w:rPr>
            </w:pPr>
            <w:r>
              <w:rPr>
                <w:kern w:val="0"/>
                <w:sz w:val="22"/>
                <w:szCs w:val="22"/>
              </w:rPr>
              <w:t>率、构成比、相对比</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2．应用相对数应注意的问题</w:t>
            </w:r>
          </w:p>
        </w:tc>
        <w:tc>
          <w:tcPr>
            <w:tcW w:w="2265" w:type="pct"/>
            <w:shd w:val="clear" w:color="auto" w:fill="auto"/>
            <w:vAlign w:val="center"/>
          </w:tcPr>
          <w:p>
            <w:pPr>
              <w:widowControl/>
              <w:rPr>
                <w:kern w:val="0"/>
                <w:sz w:val="22"/>
                <w:szCs w:val="22"/>
              </w:rPr>
            </w:pPr>
            <w:r>
              <w:rPr>
                <w:kern w:val="0"/>
                <w:sz w:val="22"/>
                <w:szCs w:val="22"/>
              </w:rPr>
              <w:t>（1）构成比和率在应用中的区别</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（2）合计（总）率的计算</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（3）指标的可比性</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（4）观察例数的问题</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五、率的抽样误差与</w:t>
            </w:r>
            <w:r>
              <w:rPr>
                <w:i/>
                <w:kern w:val="0"/>
                <w:sz w:val="22"/>
                <w:szCs w:val="22"/>
              </w:rPr>
              <w:t>Z</w:t>
            </w:r>
            <w:r>
              <w:rPr>
                <w:kern w:val="0"/>
                <w:sz w:val="22"/>
                <w:szCs w:val="22"/>
              </w:rPr>
              <w:t>检验</w:t>
            </w:r>
          </w:p>
        </w:tc>
        <w:tc>
          <w:tcPr>
            <w:tcW w:w="1254" w:type="pct"/>
            <w:vMerge w:val="restart"/>
            <w:shd w:val="clear" w:color="auto" w:fill="auto"/>
            <w:vAlign w:val="center"/>
          </w:tcPr>
          <w:p>
            <w:pPr>
              <w:widowControl/>
              <w:rPr>
                <w:kern w:val="0"/>
                <w:sz w:val="22"/>
                <w:szCs w:val="22"/>
              </w:rPr>
            </w:pPr>
            <w:r>
              <w:rPr>
                <w:kern w:val="0"/>
                <w:sz w:val="22"/>
                <w:szCs w:val="22"/>
              </w:rPr>
              <w:t>1．率的标准误</w:t>
            </w:r>
          </w:p>
        </w:tc>
        <w:tc>
          <w:tcPr>
            <w:tcW w:w="2265" w:type="pct"/>
            <w:shd w:val="clear" w:color="auto" w:fill="auto"/>
            <w:vAlign w:val="center"/>
          </w:tcPr>
          <w:p>
            <w:pPr>
              <w:widowControl/>
              <w:rPr>
                <w:kern w:val="0"/>
                <w:sz w:val="22"/>
                <w:szCs w:val="22"/>
              </w:rPr>
            </w:pPr>
            <w:r>
              <w:rPr>
                <w:kern w:val="0"/>
                <w:sz w:val="22"/>
                <w:szCs w:val="22"/>
              </w:rPr>
              <w:t>（1）率的抽样误差</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（2）率的标准误的计算</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shd w:val="clear" w:color="auto" w:fill="auto"/>
            <w:vAlign w:val="center"/>
          </w:tcPr>
          <w:p>
            <w:pPr>
              <w:widowControl/>
              <w:rPr>
                <w:kern w:val="0"/>
                <w:sz w:val="22"/>
                <w:szCs w:val="22"/>
              </w:rPr>
            </w:pPr>
            <w:r>
              <w:rPr>
                <w:kern w:val="0"/>
                <w:sz w:val="22"/>
                <w:szCs w:val="22"/>
              </w:rPr>
              <w:t>2．总体率的参数估计</w:t>
            </w:r>
          </w:p>
        </w:tc>
        <w:tc>
          <w:tcPr>
            <w:tcW w:w="2265" w:type="pct"/>
            <w:shd w:val="clear" w:color="auto" w:fill="auto"/>
            <w:vAlign w:val="center"/>
          </w:tcPr>
          <w:p>
            <w:pPr>
              <w:widowControl/>
              <w:rPr>
                <w:kern w:val="0"/>
                <w:sz w:val="22"/>
                <w:szCs w:val="22"/>
              </w:rPr>
            </w:pPr>
            <w:r>
              <w:rPr>
                <w:kern w:val="0"/>
                <w:sz w:val="22"/>
                <w:szCs w:val="22"/>
              </w:rPr>
              <w:t>总体率的点估计与区间估计</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3．率的</w:t>
            </w:r>
            <w:r>
              <w:rPr>
                <w:i/>
                <w:kern w:val="0"/>
                <w:sz w:val="22"/>
                <w:szCs w:val="22"/>
              </w:rPr>
              <w:t>Z</w:t>
            </w:r>
            <w:r>
              <w:rPr>
                <w:kern w:val="0"/>
                <w:sz w:val="22"/>
                <w:szCs w:val="22"/>
              </w:rPr>
              <w:t>检验</w:t>
            </w:r>
          </w:p>
        </w:tc>
        <w:tc>
          <w:tcPr>
            <w:tcW w:w="2265" w:type="pct"/>
            <w:shd w:val="clear" w:color="auto" w:fill="auto"/>
            <w:vAlign w:val="center"/>
          </w:tcPr>
          <w:p>
            <w:pPr>
              <w:widowControl/>
              <w:rPr>
                <w:kern w:val="0"/>
                <w:sz w:val="22"/>
                <w:szCs w:val="22"/>
              </w:rPr>
            </w:pPr>
            <w:r>
              <w:rPr>
                <w:kern w:val="0"/>
                <w:sz w:val="22"/>
                <w:szCs w:val="22"/>
              </w:rPr>
              <w:t>（1）样本率与总体率的比较</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（2）两个样本率的比较</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938" w:type="pct"/>
            <w:vMerge w:val="restart"/>
            <w:shd w:val="clear" w:color="auto" w:fill="auto"/>
            <w:vAlign w:val="center"/>
          </w:tcPr>
          <w:p>
            <w:pPr>
              <w:widowControl/>
              <w:rPr>
                <w:kern w:val="0"/>
                <w:sz w:val="22"/>
                <w:szCs w:val="22"/>
              </w:rPr>
            </w:pPr>
            <w:r>
              <w:rPr>
                <w:kern w:val="0"/>
                <w:sz w:val="22"/>
                <w:szCs w:val="22"/>
              </w:rPr>
              <w:t>六、</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w:t>
            </w:r>
          </w:p>
        </w:tc>
        <w:tc>
          <w:tcPr>
            <w:tcW w:w="1254" w:type="pct"/>
            <w:vMerge w:val="restart"/>
            <w:shd w:val="clear" w:color="auto" w:fill="auto"/>
            <w:vAlign w:val="center"/>
          </w:tcPr>
          <w:p>
            <w:pPr>
              <w:widowControl/>
              <w:rPr>
                <w:kern w:val="0"/>
                <w:sz w:val="22"/>
                <w:szCs w:val="22"/>
              </w:rPr>
            </w:pPr>
            <w:r>
              <w:rPr>
                <w:kern w:val="0"/>
                <w:sz w:val="22"/>
                <w:szCs w:val="22"/>
              </w:rPr>
              <w:t>1．四格表资料的</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w:t>
            </w:r>
          </w:p>
        </w:tc>
        <w:tc>
          <w:tcPr>
            <w:tcW w:w="2265" w:type="pct"/>
            <w:shd w:val="clear" w:color="auto" w:fill="auto"/>
            <w:vAlign w:val="center"/>
          </w:tcPr>
          <w:p>
            <w:pPr>
              <w:widowControl/>
              <w:rPr>
                <w:kern w:val="0"/>
                <w:sz w:val="22"/>
                <w:szCs w:val="22"/>
              </w:rPr>
            </w:pPr>
            <w:r>
              <w:rPr>
                <w:kern w:val="0"/>
                <w:sz w:val="22"/>
                <w:szCs w:val="22"/>
              </w:rPr>
              <w:t>（1）完全随机设计四格表资料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检验计算及应用条件</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（2）配对设计四格表资料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2．行×列表资料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w:t>
            </w:r>
          </w:p>
        </w:tc>
        <w:tc>
          <w:tcPr>
            <w:tcW w:w="2265" w:type="pct"/>
            <w:shd w:val="clear" w:color="auto" w:fill="auto"/>
            <w:vAlign w:val="center"/>
          </w:tcPr>
          <w:p>
            <w:pPr>
              <w:widowControl/>
              <w:rPr>
                <w:kern w:val="0"/>
                <w:sz w:val="22"/>
                <w:szCs w:val="22"/>
              </w:rPr>
            </w:pPr>
            <w:r>
              <w:rPr>
                <w:kern w:val="0"/>
                <w:sz w:val="22"/>
                <w:szCs w:val="22"/>
              </w:rPr>
              <w:t>（1）行×列表资料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（2）行×列表资料</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kern w:val="0"/>
                <w:sz w:val="22"/>
                <w:szCs w:val="22"/>
              </w:rPr>
              <w:t>检验应注意的问题</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七、秩和检验</w:t>
            </w:r>
          </w:p>
        </w:tc>
        <w:tc>
          <w:tcPr>
            <w:tcW w:w="1254" w:type="pct"/>
            <w:vMerge w:val="restart"/>
            <w:shd w:val="clear" w:color="auto" w:fill="auto"/>
            <w:vAlign w:val="center"/>
          </w:tcPr>
          <w:p>
            <w:pPr>
              <w:widowControl/>
              <w:rPr>
                <w:kern w:val="0"/>
                <w:sz w:val="22"/>
                <w:szCs w:val="22"/>
              </w:rPr>
            </w:pPr>
            <w:r>
              <w:rPr>
                <w:kern w:val="0"/>
                <w:sz w:val="22"/>
                <w:szCs w:val="22"/>
              </w:rPr>
              <w:t>1．非参数检验</w:t>
            </w:r>
          </w:p>
        </w:tc>
        <w:tc>
          <w:tcPr>
            <w:tcW w:w="2265" w:type="pct"/>
            <w:shd w:val="clear" w:color="auto" w:fill="auto"/>
            <w:vAlign w:val="center"/>
          </w:tcPr>
          <w:p>
            <w:pPr>
              <w:widowControl/>
              <w:rPr>
                <w:kern w:val="0"/>
                <w:sz w:val="22"/>
                <w:szCs w:val="22"/>
              </w:rPr>
            </w:pPr>
            <w:r>
              <w:rPr>
                <w:kern w:val="0"/>
                <w:sz w:val="22"/>
                <w:szCs w:val="22"/>
              </w:rPr>
              <w:t>（1）非参数检验的概念</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rPr>
                <w:kern w:val="0"/>
                <w:sz w:val="22"/>
                <w:szCs w:val="22"/>
              </w:rPr>
            </w:pPr>
          </w:p>
        </w:tc>
        <w:tc>
          <w:tcPr>
            <w:tcW w:w="2265" w:type="pct"/>
            <w:shd w:val="clear" w:color="auto" w:fill="auto"/>
            <w:vAlign w:val="center"/>
          </w:tcPr>
          <w:p>
            <w:pPr>
              <w:widowControl/>
              <w:rPr>
                <w:kern w:val="0"/>
                <w:sz w:val="22"/>
                <w:szCs w:val="22"/>
              </w:rPr>
            </w:pPr>
            <w:r>
              <w:rPr>
                <w:kern w:val="0"/>
                <w:sz w:val="22"/>
                <w:szCs w:val="22"/>
              </w:rPr>
              <w:t>（2）非参数检验的适用范围</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rPr>
                <w:kern w:val="0"/>
                <w:sz w:val="22"/>
                <w:szCs w:val="22"/>
              </w:rPr>
            </w:pPr>
            <w:r>
              <w:rPr>
                <w:kern w:val="0"/>
                <w:sz w:val="22"/>
                <w:szCs w:val="22"/>
              </w:rPr>
              <w:t>2．秩和检验</w:t>
            </w:r>
          </w:p>
        </w:tc>
        <w:tc>
          <w:tcPr>
            <w:tcW w:w="2265" w:type="pct"/>
            <w:shd w:val="clear" w:color="auto" w:fill="auto"/>
            <w:vAlign w:val="center"/>
          </w:tcPr>
          <w:p>
            <w:pPr>
              <w:widowControl/>
              <w:rPr>
                <w:kern w:val="0"/>
                <w:sz w:val="22"/>
                <w:szCs w:val="22"/>
              </w:rPr>
            </w:pPr>
            <w:r>
              <w:rPr>
                <w:kern w:val="0"/>
                <w:sz w:val="22"/>
                <w:szCs w:val="22"/>
              </w:rPr>
              <w:t>（1）配对设计的符号秩和检验</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shd w:val="clear" w:color="auto" w:fill="auto"/>
            <w:vAlign w:val="center"/>
          </w:tcPr>
          <w:p>
            <w:pPr>
              <w:widowControl/>
              <w:rPr>
                <w:kern w:val="0"/>
                <w:sz w:val="22"/>
                <w:szCs w:val="22"/>
              </w:rPr>
            </w:pPr>
          </w:p>
        </w:tc>
        <w:tc>
          <w:tcPr>
            <w:tcW w:w="1254" w:type="pct"/>
            <w:vMerge w:val="continue"/>
            <w:tcBorders>
              <w:bottom w:val="single" w:color="auto" w:sz="4" w:space="0"/>
            </w:tcBorders>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（2）完全随机设计两样本比较的秩和检验</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八、回归与相关</w:t>
            </w:r>
          </w:p>
        </w:tc>
        <w:tc>
          <w:tcPr>
            <w:tcW w:w="1254" w:type="pct"/>
            <w:vMerge w:val="restart"/>
            <w:shd w:val="clear" w:color="auto" w:fill="auto"/>
            <w:vAlign w:val="center"/>
          </w:tcPr>
          <w:p>
            <w:pPr>
              <w:widowControl/>
              <w:rPr>
                <w:kern w:val="0"/>
                <w:sz w:val="22"/>
                <w:szCs w:val="22"/>
              </w:rPr>
            </w:pPr>
            <w:r>
              <w:rPr>
                <w:kern w:val="0"/>
                <w:sz w:val="22"/>
                <w:szCs w:val="22"/>
              </w:rPr>
              <w:t>1．直线回归</w:t>
            </w:r>
          </w:p>
        </w:tc>
        <w:tc>
          <w:tcPr>
            <w:tcW w:w="2265" w:type="pct"/>
            <w:shd w:val="clear" w:color="auto" w:fill="auto"/>
            <w:vAlign w:val="center"/>
          </w:tcPr>
          <w:p>
            <w:pPr>
              <w:widowControl/>
              <w:rPr>
                <w:kern w:val="0"/>
                <w:sz w:val="22"/>
                <w:szCs w:val="22"/>
              </w:rPr>
            </w:pPr>
            <w:r>
              <w:rPr>
                <w:kern w:val="0"/>
                <w:sz w:val="22"/>
                <w:szCs w:val="22"/>
              </w:rPr>
              <w:t>（1）直线回归方程的建立</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（2）直线回归系数的含义</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（3）直线回归系数的假设检验</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2．直线相关</w:t>
            </w:r>
          </w:p>
        </w:tc>
        <w:tc>
          <w:tcPr>
            <w:tcW w:w="2265" w:type="pct"/>
            <w:shd w:val="clear" w:color="auto" w:fill="auto"/>
            <w:vAlign w:val="center"/>
          </w:tcPr>
          <w:p>
            <w:pPr>
              <w:widowControl/>
              <w:rPr>
                <w:kern w:val="0"/>
                <w:sz w:val="22"/>
                <w:szCs w:val="22"/>
              </w:rPr>
            </w:pPr>
            <w:r>
              <w:rPr>
                <w:kern w:val="0"/>
                <w:sz w:val="22"/>
                <w:szCs w:val="22"/>
              </w:rPr>
              <w:t>（1）直线相关系数的含义与计算</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（2）直线相关系数的假设检验</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3．直线回归与相关的区别和联系</w:t>
            </w:r>
          </w:p>
        </w:tc>
        <w:tc>
          <w:tcPr>
            <w:tcW w:w="2265" w:type="pct"/>
            <w:shd w:val="clear" w:color="auto" w:fill="auto"/>
            <w:vAlign w:val="center"/>
          </w:tcPr>
          <w:p>
            <w:pPr>
              <w:widowControl/>
              <w:rPr>
                <w:kern w:val="0"/>
                <w:sz w:val="22"/>
                <w:szCs w:val="22"/>
              </w:rPr>
            </w:pPr>
            <w:r>
              <w:rPr>
                <w:kern w:val="0"/>
                <w:sz w:val="22"/>
                <w:szCs w:val="22"/>
              </w:rPr>
              <w:t>（1）区别</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（2）联系</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4．等级相关</w:t>
            </w:r>
          </w:p>
        </w:tc>
        <w:tc>
          <w:tcPr>
            <w:tcW w:w="2265" w:type="pct"/>
            <w:shd w:val="clear" w:color="auto" w:fill="auto"/>
            <w:vAlign w:val="center"/>
          </w:tcPr>
          <w:p>
            <w:pPr>
              <w:widowControl/>
              <w:rPr>
                <w:kern w:val="0"/>
                <w:sz w:val="22"/>
                <w:szCs w:val="22"/>
              </w:rPr>
            </w:pPr>
            <w:r>
              <w:rPr>
                <w:kern w:val="0"/>
                <w:sz w:val="22"/>
                <w:szCs w:val="22"/>
              </w:rPr>
              <w:t>（1）等级相关的适用范围</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（2）等级相关系数的假设检验</w:t>
            </w:r>
          </w:p>
        </w:tc>
        <w:tc>
          <w:tcPr>
            <w:tcW w:w="543" w:type="pct"/>
          </w:tcPr>
          <w:p>
            <w:pPr>
              <w:widowControl/>
              <w:jc w:val="center"/>
              <w:rPr>
                <w:kern w:val="0"/>
                <w:sz w:val="22"/>
                <w:szCs w:val="22"/>
              </w:rPr>
            </w:pPr>
            <w:r>
              <w:rPr>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九、统计表与统计图</w:t>
            </w:r>
          </w:p>
        </w:tc>
        <w:tc>
          <w:tcPr>
            <w:tcW w:w="1254" w:type="pct"/>
            <w:vMerge w:val="restart"/>
            <w:shd w:val="clear" w:color="auto" w:fill="auto"/>
            <w:vAlign w:val="center"/>
          </w:tcPr>
          <w:p>
            <w:pPr>
              <w:widowControl/>
              <w:rPr>
                <w:kern w:val="0"/>
                <w:sz w:val="22"/>
                <w:szCs w:val="22"/>
              </w:rPr>
            </w:pPr>
            <w:r>
              <w:rPr>
                <w:kern w:val="0"/>
                <w:sz w:val="22"/>
                <w:szCs w:val="22"/>
              </w:rPr>
              <w:t>1．统计表</w:t>
            </w:r>
          </w:p>
        </w:tc>
        <w:tc>
          <w:tcPr>
            <w:tcW w:w="2265" w:type="pct"/>
            <w:shd w:val="clear" w:color="auto" w:fill="auto"/>
            <w:vAlign w:val="center"/>
          </w:tcPr>
          <w:p>
            <w:pPr>
              <w:widowControl/>
              <w:rPr>
                <w:kern w:val="0"/>
                <w:sz w:val="22"/>
                <w:szCs w:val="22"/>
              </w:rPr>
            </w:pPr>
            <w:r>
              <w:rPr>
                <w:kern w:val="0"/>
                <w:sz w:val="22"/>
                <w:szCs w:val="22"/>
              </w:rPr>
              <w:t>（1）统计表的基本结构</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（2）统计表的编制原则</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（3）制表的注意事项</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2．统计图</w:t>
            </w:r>
          </w:p>
        </w:tc>
        <w:tc>
          <w:tcPr>
            <w:tcW w:w="2265" w:type="pct"/>
            <w:shd w:val="clear" w:color="auto" w:fill="auto"/>
            <w:vAlign w:val="center"/>
          </w:tcPr>
          <w:p>
            <w:pPr>
              <w:widowControl/>
              <w:rPr>
                <w:kern w:val="0"/>
                <w:sz w:val="22"/>
                <w:szCs w:val="22"/>
              </w:rPr>
            </w:pPr>
            <w:r>
              <w:rPr>
                <w:kern w:val="0"/>
                <w:sz w:val="22"/>
                <w:szCs w:val="22"/>
              </w:rPr>
              <w:t>（1）统计图绘制的基本要求和注意事项</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（2）统计图的正确选择与应用</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十、统计设计</w:t>
            </w:r>
          </w:p>
        </w:tc>
        <w:tc>
          <w:tcPr>
            <w:tcW w:w="1254" w:type="pct"/>
            <w:vMerge w:val="restart"/>
            <w:shd w:val="clear" w:color="auto" w:fill="auto"/>
            <w:vAlign w:val="center"/>
          </w:tcPr>
          <w:p>
            <w:pPr>
              <w:widowControl/>
              <w:rPr>
                <w:kern w:val="0"/>
                <w:sz w:val="22"/>
                <w:szCs w:val="22"/>
              </w:rPr>
            </w:pPr>
            <w:r>
              <w:rPr>
                <w:kern w:val="0"/>
                <w:sz w:val="22"/>
                <w:szCs w:val="22"/>
              </w:rPr>
              <w:t>1．调查设计和实验设计的区别</w:t>
            </w:r>
          </w:p>
        </w:tc>
        <w:tc>
          <w:tcPr>
            <w:tcW w:w="2265" w:type="pct"/>
            <w:shd w:val="clear" w:color="auto" w:fill="auto"/>
            <w:vAlign w:val="center"/>
          </w:tcPr>
          <w:p>
            <w:pPr>
              <w:widowControl/>
              <w:rPr>
                <w:kern w:val="0"/>
                <w:sz w:val="22"/>
                <w:szCs w:val="22"/>
              </w:rPr>
            </w:pPr>
            <w:r>
              <w:rPr>
                <w:kern w:val="0"/>
                <w:sz w:val="22"/>
                <w:szCs w:val="22"/>
              </w:rPr>
              <w:t>（1）调查研究的特点</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（2）实验研究的特点</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shd w:val="clear" w:color="auto" w:fill="auto"/>
            <w:vAlign w:val="center"/>
          </w:tcPr>
          <w:p>
            <w:pPr>
              <w:widowControl/>
              <w:rPr>
                <w:kern w:val="0"/>
                <w:sz w:val="22"/>
                <w:szCs w:val="22"/>
              </w:rPr>
            </w:pPr>
            <w:r>
              <w:rPr>
                <w:kern w:val="0"/>
                <w:sz w:val="22"/>
                <w:szCs w:val="22"/>
              </w:rPr>
              <w:t>2．调查设计概述</w:t>
            </w:r>
          </w:p>
        </w:tc>
        <w:tc>
          <w:tcPr>
            <w:tcW w:w="2265" w:type="pct"/>
            <w:shd w:val="clear" w:color="auto" w:fill="auto"/>
            <w:vAlign w:val="center"/>
          </w:tcPr>
          <w:p>
            <w:pPr>
              <w:widowControl/>
              <w:rPr>
                <w:kern w:val="0"/>
                <w:sz w:val="22"/>
                <w:szCs w:val="22"/>
              </w:rPr>
            </w:pPr>
            <w:r>
              <w:rPr>
                <w:kern w:val="0"/>
                <w:sz w:val="22"/>
                <w:szCs w:val="22"/>
              </w:rPr>
              <w:t>调查设计的内容及计划的制订</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restart"/>
            <w:shd w:val="clear" w:color="auto" w:fill="auto"/>
            <w:vAlign w:val="center"/>
          </w:tcPr>
          <w:p>
            <w:pPr>
              <w:widowControl/>
              <w:rPr>
                <w:kern w:val="0"/>
                <w:sz w:val="22"/>
                <w:szCs w:val="22"/>
              </w:rPr>
            </w:pPr>
            <w:r>
              <w:rPr>
                <w:kern w:val="0"/>
                <w:sz w:val="22"/>
                <w:szCs w:val="22"/>
              </w:rPr>
              <w:t>3．实验设计概述</w:t>
            </w:r>
          </w:p>
        </w:tc>
        <w:tc>
          <w:tcPr>
            <w:tcW w:w="2265" w:type="pct"/>
            <w:shd w:val="clear" w:color="auto" w:fill="auto"/>
            <w:vAlign w:val="center"/>
          </w:tcPr>
          <w:p>
            <w:pPr>
              <w:widowControl/>
              <w:rPr>
                <w:kern w:val="0"/>
                <w:sz w:val="22"/>
                <w:szCs w:val="22"/>
              </w:rPr>
            </w:pPr>
            <w:r>
              <w:rPr>
                <w:kern w:val="0"/>
                <w:sz w:val="22"/>
                <w:szCs w:val="22"/>
              </w:rPr>
              <w:t>（1）实验设计的基本原则</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（2）实验设计的基本要素</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shd w:val="clear" w:color="auto" w:fill="auto"/>
            <w:vAlign w:val="center"/>
          </w:tcPr>
          <w:p>
            <w:pPr>
              <w:widowControl/>
              <w:rPr>
                <w:kern w:val="0"/>
                <w:sz w:val="22"/>
                <w:szCs w:val="22"/>
              </w:rPr>
            </w:pPr>
            <w:r>
              <w:rPr>
                <w:kern w:val="0"/>
                <w:sz w:val="22"/>
                <w:szCs w:val="22"/>
              </w:rPr>
              <w:t>十一、医学常用人口统计与疾病统计指标</w:t>
            </w:r>
          </w:p>
        </w:tc>
        <w:tc>
          <w:tcPr>
            <w:tcW w:w="1254" w:type="pct"/>
            <w:vMerge w:val="restart"/>
            <w:shd w:val="clear" w:color="auto" w:fill="auto"/>
            <w:vAlign w:val="center"/>
          </w:tcPr>
          <w:p>
            <w:pPr>
              <w:widowControl/>
              <w:rPr>
                <w:kern w:val="0"/>
                <w:sz w:val="22"/>
                <w:szCs w:val="22"/>
              </w:rPr>
            </w:pPr>
            <w:r>
              <w:rPr>
                <w:kern w:val="0"/>
                <w:sz w:val="22"/>
                <w:szCs w:val="22"/>
              </w:rPr>
              <w:t>1．人口统计指标</w:t>
            </w:r>
          </w:p>
        </w:tc>
        <w:tc>
          <w:tcPr>
            <w:tcW w:w="2265" w:type="pct"/>
            <w:shd w:val="clear" w:color="auto" w:fill="auto"/>
            <w:vAlign w:val="center"/>
          </w:tcPr>
          <w:p>
            <w:pPr>
              <w:widowControl/>
              <w:rPr>
                <w:kern w:val="0"/>
                <w:sz w:val="22"/>
                <w:szCs w:val="22"/>
              </w:rPr>
            </w:pPr>
            <w:r>
              <w:rPr>
                <w:kern w:val="0"/>
                <w:sz w:val="22"/>
                <w:szCs w:val="22"/>
              </w:rPr>
              <w:t>（1）人口统计指标</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kern w:val="0"/>
                <w:sz w:val="22"/>
                <w:szCs w:val="22"/>
              </w:rPr>
            </w:pPr>
            <w:r>
              <w:rPr>
                <w:kern w:val="0"/>
                <w:sz w:val="22"/>
                <w:szCs w:val="22"/>
              </w:rPr>
              <w:t>（2）出生统计指标</w:t>
            </w:r>
          </w:p>
        </w:tc>
        <w:tc>
          <w:tcPr>
            <w:tcW w:w="543" w:type="pct"/>
            <w:vAlign w:val="center"/>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shd w:val="clear" w:color="auto" w:fill="auto"/>
            <w:vAlign w:val="center"/>
          </w:tcPr>
          <w:p>
            <w:pPr>
              <w:widowControl/>
              <w:rPr>
                <w:kern w:val="0"/>
                <w:sz w:val="22"/>
                <w:szCs w:val="22"/>
              </w:rPr>
            </w:pPr>
          </w:p>
        </w:tc>
        <w:tc>
          <w:tcPr>
            <w:tcW w:w="1254" w:type="pct"/>
            <w:vMerge w:val="continue"/>
            <w:shd w:val="clear" w:color="auto" w:fill="auto"/>
            <w:vAlign w:val="center"/>
          </w:tcPr>
          <w:p>
            <w:pPr>
              <w:widowControl/>
              <w:rPr>
                <w:kern w:val="0"/>
                <w:sz w:val="22"/>
                <w:szCs w:val="22"/>
              </w:rPr>
            </w:pPr>
          </w:p>
        </w:tc>
        <w:tc>
          <w:tcPr>
            <w:tcW w:w="2265" w:type="pct"/>
            <w:shd w:val="clear" w:color="auto" w:fill="auto"/>
            <w:vAlign w:val="center"/>
          </w:tcPr>
          <w:p>
            <w:pPr>
              <w:widowControl/>
              <w:rPr>
                <w:sz w:val="22"/>
                <w:szCs w:val="22"/>
              </w:rPr>
            </w:pPr>
            <w:r>
              <w:rPr>
                <w:sz w:val="22"/>
                <w:szCs w:val="22"/>
              </w:rPr>
              <w:t>（3）死亡统计指标</w:t>
            </w:r>
          </w:p>
        </w:tc>
        <w:tc>
          <w:tcPr>
            <w:tcW w:w="543" w:type="pct"/>
            <w:vAlign w:val="center"/>
          </w:tcPr>
          <w:p>
            <w:pPr>
              <w:widowControl/>
              <w:jc w:val="center"/>
              <w:rPr>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shd w:val="clear" w:color="auto" w:fill="auto"/>
            <w:vAlign w:val="center"/>
          </w:tcPr>
          <w:p>
            <w:pPr>
              <w:widowControl/>
              <w:rPr>
                <w:kern w:val="0"/>
                <w:sz w:val="22"/>
                <w:szCs w:val="22"/>
              </w:rPr>
            </w:pPr>
          </w:p>
        </w:tc>
        <w:tc>
          <w:tcPr>
            <w:tcW w:w="1254" w:type="pct"/>
            <w:tcBorders>
              <w:bottom w:val="single" w:color="auto" w:sz="4" w:space="0"/>
            </w:tcBorders>
            <w:shd w:val="clear" w:color="auto" w:fill="auto"/>
            <w:vAlign w:val="center"/>
          </w:tcPr>
          <w:p>
            <w:pPr>
              <w:widowControl/>
              <w:rPr>
                <w:kern w:val="0"/>
                <w:sz w:val="22"/>
                <w:szCs w:val="22"/>
              </w:rPr>
            </w:pPr>
            <w:r>
              <w:rPr>
                <w:kern w:val="0"/>
                <w:sz w:val="22"/>
                <w:szCs w:val="22"/>
              </w:rPr>
              <w:t>2．疾病统计指标</w:t>
            </w:r>
          </w:p>
        </w:tc>
        <w:tc>
          <w:tcPr>
            <w:tcW w:w="2265" w:type="pct"/>
            <w:tcBorders>
              <w:bottom w:val="single" w:color="auto" w:sz="4" w:space="0"/>
            </w:tcBorders>
            <w:shd w:val="clear" w:color="auto" w:fill="auto"/>
            <w:vAlign w:val="center"/>
          </w:tcPr>
          <w:p>
            <w:pPr>
              <w:widowControl/>
              <w:rPr>
                <w:kern w:val="0"/>
                <w:sz w:val="22"/>
                <w:szCs w:val="22"/>
              </w:rPr>
            </w:pPr>
            <w:r>
              <w:rPr>
                <w:sz w:val="22"/>
                <w:szCs w:val="22"/>
              </w:rPr>
              <w:t>常用疾病统计指标</w:t>
            </w:r>
          </w:p>
        </w:tc>
        <w:tc>
          <w:tcPr>
            <w:tcW w:w="543" w:type="pct"/>
            <w:tcBorders>
              <w:bottom w:val="single" w:color="auto" w:sz="4" w:space="0"/>
            </w:tcBorders>
            <w:vAlign w:val="center"/>
          </w:tcPr>
          <w:p>
            <w:pPr>
              <w:widowControl/>
              <w:jc w:val="center"/>
              <w:rPr>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4"/>
            <w:tcBorders>
              <w:left w:val="nil"/>
              <w:right w:val="nil"/>
            </w:tcBorders>
            <w:shd w:val="clear" w:color="auto" w:fill="auto"/>
            <w:vAlign w:val="center"/>
          </w:tcPr>
          <w:p>
            <w:pPr>
              <w:pStyle w:val="77"/>
              <w:spacing w:before="93" w:beforeLines="30" w:after="93" w:afterLines="30"/>
              <w:rPr>
                <w:lang w:eastAsia="zh-Hans"/>
              </w:rPr>
            </w:pPr>
            <w:bookmarkStart w:id="36" w:name="_Toc142388623"/>
            <w:bookmarkStart w:id="37" w:name="_Toc144217066"/>
            <w:r>
              <w:rPr>
                <w:rFonts w:hint="eastAsia"/>
              </w:rPr>
              <w:t>三、</w:t>
            </w:r>
            <w:r>
              <w:t>环境卫生学</w:t>
            </w:r>
            <w:bookmarkEnd w:id="36"/>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一、绪论</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环境卫生学基本概念</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（1）定义和研究对象</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（2）研究内容和方法</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二、环境与健康的关系</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1．人类的环境</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（1）自然环境</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（2）生态环境</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2．人与环境的关系</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（1）统一性、相互作用、暴露特征和剂量-反应关系</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（2）健康效应谱与易感人群</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3．环境污染与健康</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（1）急、慢性危害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（2）致癌危害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（3）内分泌干扰危害与致畸作用</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三、大气卫生</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1．大气的特征及其卫生学意义</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（1）对流层和平流层的卫生学意义</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（2）太阳辐射、气象因素、空气离子</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2．大气污染及大气污染物的转归</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（1）大气污染来源</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（2）大气污染物的种类及其存在的形式</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（3）影响大气中污染物浓度的因素</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t xml:space="preserve">熟悉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3．大气污染对人体健康的影响</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（1）直接危害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（2）间接危害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4．大气中主要污染物对人体健康的影响</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（1）二氧化硫</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（2）颗粒物</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（3）氮氧化物</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（4）臭氧</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5．大气污染对健康影响的调查和监测</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（1）调查和监测的内容和方法</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bCs/>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（2）大气污染事故的调查和应急措施</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bCs/>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四、水体卫生</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1．水质的性状和评价指标</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（1）物理学性状指标</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（2）化学性状指标</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（3）微生物学性状指标</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2．水体污染和自净</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（1）不同水体的污染特点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（2）水体污染的自净</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3．水体污染的危害</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（1）生物性污染的危害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（2）化学性污染的危害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五、饮用水卫生</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1．饮用水污染的健康危害</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（1）介水传染病</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（2）化学性污染中毒</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（3）二次供水污染与健康</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2．生活饮用水水质标准</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（1）标准制定的原则</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（2）生活饮用水水质标准的主要指标</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3．集中式</w:t>
            </w:r>
            <w:r>
              <w:rPr>
                <w:rFonts w:hint="eastAsia"/>
                <w:bCs/>
                <w:kern w:val="0"/>
                <w:sz w:val="22"/>
                <w:szCs w:val="22"/>
              </w:rPr>
              <w:t>供</w:t>
            </w:r>
            <w:r>
              <w:rPr>
                <w:bCs/>
                <w:kern w:val="0"/>
                <w:sz w:val="22"/>
                <w:szCs w:val="22"/>
              </w:rPr>
              <w:t>水</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（1）水源选择的原则</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（2）水源卫生防护</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（3）水质处理的主要方法</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4．分散式</w:t>
            </w:r>
            <w:r>
              <w:rPr>
                <w:rFonts w:hint="eastAsia"/>
                <w:bCs/>
                <w:kern w:val="0"/>
                <w:sz w:val="22"/>
                <w:szCs w:val="22"/>
              </w:rPr>
              <w:t>供</w:t>
            </w:r>
            <w:r>
              <w:rPr>
                <w:bCs/>
                <w:kern w:val="0"/>
                <w:sz w:val="22"/>
                <w:szCs w:val="22"/>
              </w:rPr>
              <w:t>水</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（1）井水卫生</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（2）包装饮用水卫生</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5．饮用水的卫生调查、监测和监督</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集中式</w:t>
            </w:r>
            <w:r>
              <w:rPr>
                <w:rFonts w:hint="eastAsia"/>
                <w:bCs/>
                <w:kern w:val="0"/>
                <w:sz w:val="22"/>
                <w:szCs w:val="22"/>
              </w:rPr>
              <w:t>供</w:t>
            </w:r>
            <w:r>
              <w:rPr>
                <w:bCs/>
                <w:kern w:val="0"/>
                <w:sz w:val="22"/>
                <w:szCs w:val="22"/>
              </w:rPr>
              <w:t>水的卫生调查、监测和监督</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六、土壤卫生</w:t>
            </w:r>
          </w:p>
        </w:tc>
        <w:tc>
          <w:tcPr>
            <w:tcW w:w="1254"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1．土壤污染</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概念与污染来源</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2．土壤污染对健康的影响</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（1）重金属污染对健康的危害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（2）农药污染的危害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（3）生物性污染的危害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3．土壤卫生防护</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（1）粪便的无害化处理</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（2）垃圾的无害化处理</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sz w:val="22"/>
                <w:szCs w:val="22"/>
              </w:rPr>
              <w:t>七、生物地球化学性疾病</w:t>
            </w:r>
          </w:p>
        </w:tc>
        <w:tc>
          <w:tcPr>
            <w:tcW w:w="1254"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w:t>
            </w:r>
            <w:r>
              <w:rPr>
                <w:bCs/>
                <w:sz w:val="22"/>
                <w:szCs w:val="22"/>
              </w:rPr>
              <w:t>概述</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概念、流行特征、预防措施</w:t>
            </w:r>
          </w:p>
        </w:tc>
        <w:tc>
          <w:tcPr>
            <w:tcW w:w="54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sz w:val="22"/>
                <w:szCs w:val="22"/>
              </w:rPr>
            </w:pPr>
          </w:p>
        </w:tc>
        <w:tc>
          <w:tcPr>
            <w:tcW w:w="1254"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rFonts w:hint="eastAsia"/>
                <w:bCs/>
                <w:kern w:val="0"/>
                <w:sz w:val="22"/>
                <w:szCs w:val="22"/>
              </w:rPr>
              <w:t>2</w:t>
            </w:r>
            <w:r>
              <w:rPr>
                <w:bCs/>
                <w:kern w:val="0"/>
                <w:sz w:val="22"/>
                <w:szCs w:val="22"/>
              </w:rPr>
              <w:t>．碘缺乏病</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流行特征、临床表现、预防措施</w:t>
            </w:r>
          </w:p>
        </w:tc>
        <w:tc>
          <w:tcPr>
            <w:tcW w:w="54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rFonts w:hint="eastAsia"/>
                <w:bCs/>
                <w:kern w:val="0"/>
                <w:sz w:val="22"/>
                <w:szCs w:val="22"/>
              </w:rPr>
              <w:t>3</w:t>
            </w:r>
            <w:r>
              <w:rPr>
                <w:bCs/>
                <w:kern w:val="0"/>
                <w:sz w:val="22"/>
                <w:szCs w:val="22"/>
              </w:rPr>
              <w:t>．地方性氟中毒</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流行特征、临床表现、预防措施</w:t>
            </w:r>
          </w:p>
        </w:tc>
        <w:tc>
          <w:tcPr>
            <w:tcW w:w="54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rFonts w:hint="eastAsia"/>
                <w:bCs/>
                <w:kern w:val="0"/>
                <w:sz w:val="22"/>
                <w:szCs w:val="22"/>
              </w:rPr>
              <w:t>4</w:t>
            </w:r>
            <w:r>
              <w:rPr>
                <w:bCs/>
                <w:kern w:val="0"/>
                <w:sz w:val="22"/>
                <w:szCs w:val="22"/>
              </w:rPr>
              <w:t>．地方性砷中毒</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流行特征、临床表现、预防措施</w:t>
            </w:r>
          </w:p>
        </w:tc>
        <w:tc>
          <w:tcPr>
            <w:tcW w:w="543"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八、住宅卫生</w:t>
            </w: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1．住宅设计的卫生学要求</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（1）住宅的平面配置</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（2）住宅的卫生规模</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2．住宅小气候对居民健康影响及其卫生要求</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（1）住宅小气候的概念</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（2）健康影响</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（3）卫生要求</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3．室内空气污染</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（1）来源和特点</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（2）室内空气污染的危害</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（3）居室空气清洁度的常用评价指标</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九、公共场所卫生</w:t>
            </w:r>
          </w:p>
        </w:tc>
        <w:tc>
          <w:tcPr>
            <w:tcW w:w="1254"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1．公共场所的卫生要求</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（1）公共场所概念</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（2）公共场所卫生要求</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2．公共场所的卫生管理与监督</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（1）公共场所的卫生管理</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938"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（2）公共场所的卫生监督</w:t>
            </w:r>
          </w:p>
        </w:tc>
        <w:tc>
          <w:tcPr>
            <w:tcW w:w="543" w:type="pct"/>
            <w:tcBorders>
              <w:top w:val="single" w:color="auto" w:sz="4" w:space="0"/>
              <w:left w:val="single" w:color="auto" w:sz="4" w:space="0"/>
              <w:bottom w:val="single" w:color="auto" w:sz="4" w:space="0"/>
              <w:right w:val="single" w:color="auto" w:sz="4" w:space="0"/>
            </w:tcBorders>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tcBorders>
              <w:left w:val="single" w:color="auto" w:sz="4" w:space="0"/>
              <w:right w:val="single" w:color="auto" w:sz="4" w:space="0"/>
            </w:tcBorders>
            <w:vAlign w:val="center"/>
          </w:tcPr>
          <w:p>
            <w:pPr>
              <w:widowControl/>
              <w:rPr>
                <w:bCs/>
                <w:kern w:val="0"/>
                <w:sz w:val="22"/>
                <w:szCs w:val="22"/>
              </w:rPr>
            </w:pPr>
            <w:r>
              <w:rPr>
                <w:bCs/>
                <w:kern w:val="0"/>
                <w:sz w:val="22"/>
                <w:szCs w:val="22"/>
              </w:rPr>
              <w:t>十、突发环境污染事件及其应急处理</w:t>
            </w:r>
          </w:p>
        </w:tc>
        <w:tc>
          <w:tcPr>
            <w:tcW w:w="1254" w:type="pct"/>
            <w:vMerge w:val="restart"/>
            <w:tcBorders>
              <w:top w:val="single" w:color="auto" w:sz="4" w:space="0"/>
              <w:left w:val="single" w:color="auto" w:sz="4" w:space="0"/>
              <w:right w:val="single" w:color="auto" w:sz="4" w:space="0"/>
            </w:tcBorders>
            <w:vAlign w:val="center"/>
          </w:tcPr>
          <w:p>
            <w:pPr>
              <w:widowControl/>
              <w:rPr>
                <w:bCs/>
                <w:kern w:val="0"/>
                <w:sz w:val="22"/>
                <w:szCs w:val="22"/>
              </w:rPr>
            </w:pPr>
            <w:r>
              <w:rPr>
                <w:bCs/>
                <w:kern w:val="0"/>
                <w:sz w:val="22"/>
                <w:szCs w:val="22"/>
              </w:rPr>
              <w:t>概要</w:t>
            </w: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（1）概述</w:t>
            </w:r>
          </w:p>
        </w:tc>
        <w:tc>
          <w:tcPr>
            <w:tcW w:w="543" w:type="pct"/>
            <w:tcBorders>
              <w:top w:val="single" w:color="auto" w:sz="4" w:space="0"/>
              <w:left w:val="single" w:color="auto" w:sz="4" w:space="0"/>
              <w:bottom w:val="single" w:color="auto" w:sz="4" w:space="0"/>
              <w:right w:val="single" w:color="auto" w:sz="4" w:space="0"/>
            </w:tcBorders>
            <w:vAlign w:val="center"/>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（2）人群健康危害</w:t>
            </w:r>
          </w:p>
        </w:tc>
        <w:tc>
          <w:tcPr>
            <w:tcW w:w="543" w:type="pct"/>
            <w:tcBorders>
              <w:top w:val="single" w:color="auto" w:sz="4" w:space="0"/>
              <w:left w:val="single" w:color="auto" w:sz="4" w:space="0"/>
              <w:bottom w:val="single" w:color="auto" w:sz="4" w:space="0"/>
              <w:right w:val="single" w:color="auto" w:sz="4" w:space="0"/>
            </w:tcBorders>
            <w:vAlign w:val="center"/>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1254" w:type="pct"/>
            <w:vMerge w:val="continue"/>
            <w:tcBorders>
              <w:left w:val="single" w:color="auto" w:sz="4" w:space="0"/>
              <w:bottom w:val="single" w:color="auto" w:sz="4" w:space="0"/>
              <w:right w:val="single" w:color="auto" w:sz="4" w:space="0"/>
            </w:tcBorders>
            <w:vAlign w:val="center"/>
          </w:tcPr>
          <w:p>
            <w:pPr>
              <w:widowControl/>
              <w:rPr>
                <w:bCs/>
                <w:kern w:val="0"/>
                <w:sz w:val="22"/>
                <w:szCs w:val="22"/>
              </w:rPr>
            </w:pPr>
          </w:p>
        </w:tc>
        <w:tc>
          <w:tcPr>
            <w:tcW w:w="2265" w:type="pct"/>
            <w:tcBorders>
              <w:top w:val="single" w:color="auto" w:sz="4" w:space="0"/>
              <w:left w:val="single" w:color="auto" w:sz="4" w:space="0"/>
              <w:bottom w:val="single" w:color="auto" w:sz="4" w:space="0"/>
              <w:right w:val="single" w:color="auto" w:sz="4" w:space="0"/>
            </w:tcBorders>
            <w:vAlign w:val="center"/>
          </w:tcPr>
          <w:p>
            <w:pPr>
              <w:widowControl/>
              <w:rPr>
                <w:bCs/>
                <w:kern w:val="0"/>
                <w:sz w:val="22"/>
                <w:szCs w:val="22"/>
              </w:rPr>
            </w:pPr>
            <w:r>
              <w:rPr>
                <w:bCs/>
                <w:kern w:val="0"/>
                <w:sz w:val="22"/>
                <w:szCs w:val="22"/>
              </w:rPr>
              <w:t>（3）应急处理原则</w:t>
            </w:r>
          </w:p>
        </w:tc>
        <w:tc>
          <w:tcPr>
            <w:tcW w:w="543" w:type="pct"/>
            <w:tcBorders>
              <w:top w:val="single" w:color="auto" w:sz="4" w:space="0"/>
              <w:left w:val="single" w:color="auto" w:sz="4" w:space="0"/>
              <w:bottom w:val="single" w:color="auto" w:sz="4" w:space="0"/>
              <w:right w:val="single" w:color="auto" w:sz="4" w:space="0"/>
            </w:tcBorders>
            <w:vAlign w:val="center"/>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4"/>
            <w:tcBorders>
              <w:left w:val="nil"/>
              <w:right w:val="nil"/>
            </w:tcBorders>
            <w:vAlign w:val="center"/>
          </w:tcPr>
          <w:p>
            <w:pPr>
              <w:pStyle w:val="77"/>
              <w:spacing w:before="93" w:beforeLines="30" w:after="93" w:afterLines="30"/>
            </w:pPr>
            <w:bookmarkStart w:id="38" w:name="_Toc142388624"/>
            <w:bookmarkStart w:id="39" w:name="_Toc144217067"/>
            <w:r>
              <w:rPr>
                <w:rFonts w:hint="eastAsia"/>
              </w:rPr>
              <w:t>四、</w:t>
            </w:r>
            <w:r>
              <w:t>职业卫生与职业医学</w:t>
            </w:r>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一、绪论</w:t>
            </w:r>
          </w:p>
        </w:tc>
        <w:tc>
          <w:tcPr>
            <w:tcW w:w="1254" w:type="pct"/>
            <w:vMerge w:val="restart"/>
            <w:vAlign w:val="center"/>
          </w:tcPr>
          <w:p>
            <w:pPr>
              <w:widowControl/>
              <w:rPr>
                <w:bCs/>
                <w:kern w:val="0"/>
                <w:sz w:val="22"/>
                <w:szCs w:val="22"/>
              </w:rPr>
            </w:pPr>
            <w:r>
              <w:rPr>
                <w:bCs/>
                <w:kern w:val="0"/>
                <w:sz w:val="22"/>
                <w:szCs w:val="22"/>
              </w:rPr>
              <w:t>1．职业卫生与职业医学的基本概念</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ind w:right="-435" w:rightChars="-207"/>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（2）工作条件</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（3）研究对象与任务</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2．职业性有害因素与职业性损害</w:t>
            </w:r>
          </w:p>
        </w:tc>
        <w:tc>
          <w:tcPr>
            <w:tcW w:w="2265" w:type="pct"/>
            <w:vAlign w:val="center"/>
          </w:tcPr>
          <w:p>
            <w:pPr>
              <w:widowControl/>
              <w:rPr>
                <w:bCs/>
                <w:kern w:val="0"/>
                <w:sz w:val="22"/>
                <w:szCs w:val="22"/>
              </w:rPr>
            </w:pPr>
            <w:r>
              <w:rPr>
                <w:bCs/>
                <w:kern w:val="0"/>
                <w:sz w:val="22"/>
                <w:szCs w:val="22"/>
              </w:rPr>
              <w:t>（1）职业性有害因素的概念与分类</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（2）职业病、职业病特点、法定职业病及其范围、职业相关疾病和工伤</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（3）职业性有害因素作用的条件</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3．职业卫生与职业医学实践</w:t>
            </w:r>
          </w:p>
        </w:tc>
        <w:tc>
          <w:tcPr>
            <w:tcW w:w="2265" w:type="pct"/>
            <w:vAlign w:val="center"/>
          </w:tcPr>
          <w:p>
            <w:pPr>
              <w:widowControl/>
              <w:rPr>
                <w:bCs/>
                <w:kern w:val="0"/>
                <w:sz w:val="22"/>
                <w:szCs w:val="22"/>
              </w:rPr>
            </w:pPr>
            <w:r>
              <w:rPr>
                <w:bCs/>
                <w:kern w:val="0"/>
                <w:sz w:val="22"/>
                <w:szCs w:val="22"/>
              </w:rPr>
              <w:t>（1）三级预防原则</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（2）职业卫生主要工作</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二、工作过程对机体的影响</w:t>
            </w:r>
          </w:p>
        </w:tc>
        <w:tc>
          <w:tcPr>
            <w:tcW w:w="1254" w:type="pct"/>
            <w:vMerge w:val="restart"/>
            <w:vAlign w:val="center"/>
          </w:tcPr>
          <w:p>
            <w:pPr>
              <w:widowControl/>
              <w:rPr>
                <w:bCs/>
                <w:kern w:val="0"/>
                <w:sz w:val="22"/>
                <w:szCs w:val="22"/>
              </w:rPr>
            </w:pPr>
            <w:r>
              <w:rPr>
                <w:bCs/>
                <w:kern w:val="0"/>
                <w:sz w:val="22"/>
                <w:szCs w:val="22"/>
              </w:rPr>
              <w:t>1．职业生理学</w:t>
            </w:r>
          </w:p>
        </w:tc>
        <w:tc>
          <w:tcPr>
            <w:tcW w:w="2265" w:type="pct"/>
            <w:vAlign w:val="center"/>
          </w:tcPr>
          <w:p>
            <w:pPr>
              <w:widowControl/>
              <w:rPr>
                <w:bCs/>
                <w:kern w:val="0"/>
                <w:sz w:val="22"/>
                <w:szCs w:val="22"/>
              </w:rPr>
            </w:pPr>
            <w:r>
              <w:rPr>
                <w:bCs/>
                <w:kern w:val="0"/>
                <w:sz w:val="22"/>
                <w:szCs w:val="22"/>
              </w:rPr>
              <w:t>（1）作业过程中生理变化与适应</w:t>
            </w:r>
          </w:p>
        </w:tc>
        <w:tc>
          <w:tcPr>
            <w:tcW w:w="543" w:type="pct"/>
            <w:vAlign w:val="center"/>
          </w:tcPr>
          <w:p>
            <w:pPr>
              <w:jc w:val="center"/>
            </w:pPr>
            <w:r>
              <w:rPr>
                <w:bC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（2）工作负荷评价</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（3）作业能力</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rPr>
                <w:bCs/>
                <w:kern w:val="0"/>
                <w:sz w:val="22"/>
                <w:szCs w:val="22"/>
              </w:rPr>
            </w:pPr>
            <w:r>
              <w:rPr>
                <w:bCs/>
                <w:kern w:val="0"/>
                <w:sz w:val="22"/>
                <w:szCs w:val="22"/>
              </w:rPr>
              <w:t>2．职业心理学</w:t>
            </w:r>
          </w:p>
        </w:tc>
        <w:tc>
          <w:tcPr>
            <w:tcW w:w="2265" w:type="pct"/>
            <w:vAlign w:val="center"/>
          </w:tcPr>
          <w:p>
            <w:pPr>
              <w:widowControl/>
              <w:rPr>
                <w:bCs/>
                <w:kern w:val="0"/>
                <w:sz w:val="22"/>
                <w:szCs w:val="22"/>
              </w:rPr>
            </w:pPr>
            <w:r>
              <w:rPr>
                <w:bCs/>
                <w:kern w:val="0"/>
                <w:sz w:val="22"/>
                <w:szCs w:val="22"/>
              </w:rPr>
              <w:t>（1）工作时的心理与社会因素</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（2）职业紧张</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（3）心身疾病</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3．职业工效学</w:t>
            </w:r>
          </w:p>
        </w:tc>
        <w:tc>
          <w:tcPr>
            <w:tcW w:w="2265" w:type="pct"/>
            <w:vAlign w:val="center"/>
          </w:tcPr>
          <w:p>
            <w:pPr>
              <w:widowControl/>
              <w:rPr>
                <w:bCs/>
                <w:kern w:val="0"/>
                <w:sz w:val="22"/>
                <w:szCs w:val="22"/>
              </w:rPr>
            </w:pPr>
            <w:r>
              <w:rPr>
                <w:bCs/>
                <w:kern w:val="0"/>
                <w:sz w:val="22"/>
                <w:szCs w:val="22"/>
              </w:rPr>
              <w:t>（1）工作过程中的生物力学</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（2）人体测量学及应用</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三、生产性毒物与职业中毒</w:t>
            </w:r>
          </w:p>
        </w:tc>
        <w:tc>
          <w:tcPr>
            <w:tcW w:w="1254" w:type="pct"/>
            <w:vMerge w:val="restart"/>
            <w:vAlign w:val="center"/>
          </w:tcPr>
          <w:p>
            <w:pPr>
              <w:widowControl/>
              <w:rPr>
                <w:bCs/>
                <w:kern w:val="0"/>
                <w:sz w:val="22"/>
                <w:szCs w:val="22"/>
              </w:rPr>
            </w:pPr>
            <w:r>
              <w:rPr>
                <w:bCs/>
                <w:kern w:val="0"/>
                <w:sz w:val="22"/>
                <w:szCs w:val="22"/>
              </w:rPr>
              <w:t>1．概述</w:t>
            </w:r>
          </w:p>
        </w:tc>
        <w:tc>
          <w:tcPr>
            <w:tcW w:w="2265" w:type="pct"/>
            <w:vAlign w:val="center"/>
          </w:tcPr>
          <w:p>
            <w:pPr>
              <w:widowControl/>
              <w:rPr>
                <w:bCs/>
                <w:kern w:val="0"/>
                <w:sz w:val="22"/>
                <w:szCs w:val="22"/>
              </w:rPr>
            </w:pPr>
            <w:r>
              <w:rPr>
                <w:bCs/>
                <w:kern w:val="0"/>
                <w:sz w:val="22"/>
                <w:szCs w:val="22"/>
              </w:rPr>
              <w:t>（1）毒物与职业中毒的概念</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（2）毒物的来源和存在形态</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（3）毒物进入机体的途径和代谢</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w:t>
            </w:r>
            <w:r>
              <w:t>影响毒物对机体毒作用的因素</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（5）职业中毒的诊断</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（6）职业中毒的预防</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2．金属和类金属</w:t>
            </w:r>
          </w:p>
        </w:tc>
        <w:tc>
          <w:tcPr>
            <w:tcW w:w="2265" w:type="pct"/>
            <w:vAlign w:val="center"/>
          </w:tcPr>
          <w:p>
            <w:pPr>
              <w:widowControl/>
              <w:rPr>
                <w:bCs/>
                <w:kern w:val="0"/>
                <w:sz w:val="22"/>
                <w:szCs w:val="22"/>
              </w:rPr>
            </w:pPr>
            <w:r>
              <w:rPr>
                <w:bCs/>
                <w:kern w:val="0"/>
                <w:sz w:val="22"/>
                <w:szCs w:val="22"/>
              </w:rPr>
              <w:t>（1）铅：接触机会、慢性铅中毒的临床表现和治疗、铅中毒的预防</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（2）汞：接触机会、汞中毒的临床表现和治疗、汞中毒的预防</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3．刺激性气体</w:t>
            </w:r>
          </w:p>
        </w:tc>
        <w:tc>
          <w:tcPr>
            <w:tcW w:w="2265" w:type="pct"/>
            <w:vAlign w:val="center"/>
          </w:tcPr>
          <w:p>
            <w:pPr>
              <w:widowControl/>
              <w:rPr>
                <w:bCs/>
                <w:kern w:val="0"/>
                <w:sz w:val="22"/>
                <w:szCs w:val="22"/>
              </w:rPr>
            </w:pPr>
            <w:r>
              <w:rPr>
                <w:bCs/>
                <w:kern w:val="0"/>
                <w:sz w:val="22"/>
                <w:szCs w:val="22"/>
              </w:rPr>
              <w:t>（1）概念、毒作用表现</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（2）急性中毒的临床表现、急救和治疗</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（3）刺激性气体中毒的预防</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（4）氯气：理化特性、接触机会、临床表现和急救</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4．窒息性气体</w:t>
            </w:r>
          </w:p>
        </w:tc>
        <w:tc>
          <w:tcPr>
            <w:tcW w:w="2265" w:type="pct"/>
            <w:vAlign w:val="center"/>
          </w:tcPr>
          <w:p>
            <w:pPr>
              <w:widowControl/>
              <w:rPr>
                <w:bCs/>
                <w:kern w:val="0"/>
                <w:sz w:val="22"/>
                <w:szCs w:val="22"/>
              </w:rPr>
            </w:pPr>
            <w:r>
              <w:rPr>
                <w:bCs/>
                <w:kern w:val="0"/>
                <w:sz w:val="22"/>
                <w:szCs w:val="22"/>
              </w:rPr>
              <w:t>（1）概念、种类、毒作用表现</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（2）一氧化碳：理化特性、接触机会、临床表现和急救</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（3）硫化氢：理化特性、接触机会、临床表现和急救</w:t>
            </w:r>
          </w:p>
        </w:tc>
        <w:tc>
          <w:tcPr>
            <w:tcW w:w="543" w:type="pct"/>
            <w:vAlign w:val="center"/>
          </w:tcPr>
          <w:p>
            <w:pPr>
              <w:widowControl/>
              <w:jc w:val="center"/>
              <w:rPr>
                <w:bCs/>
                <w:kern w:val="0"/>
                <w:sz w:val="22"/>
                <w:szCs w:val="22"/>
              </w:rPr>
            </w:pPr>
            <w:r>
              <w:rPr>
                <w:bCs/>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5．有机溶剂</w:t>
            </w:r>
          </w:p>
        </w:tc>
        <w:tc>
          <w:tcPr>
            <w:tcW w:w="2265" w:type="pct"/>
            <w:vAlign w:val="center"/>
          </w:tcPr>
          <w:p>
            <w:pPr>
              <w:widowControl/>
              <w:rPr>
                <w:bCs/>
                <w:kern w:val="0"/>
                <w:sz w:val="22"/>
                <w:szCs w:val="22"/>
              </w:rPr>
            </w:pPr>
            <w:r>
              <w:rPr>
                <w:bCs/>
                <w:kern w:val="0"/>
                <w:sz w:val="22"/>
                <w:szCs w:val="22"/>
              </w:rPr>
              <w:t>（1）有机溶剂的毒作用特点</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tcBorders>
              <w:bottom w:val="single" w:color="auto" w:sz="4" w:space="0"/>
            </w:tcBorders>
            <w:vAlign w:val="center"/>
          </w:tcPr>
          <w:p>
            <w:pPr>
              <w:widowControl/>
              <w:rPr>
                <w:bCs/>
                <w:kern w:val="0"/>
                <w:sz w:val="22"/>
                <w:szCs w:val="22"/>
              </w:rPr>
            </w:pPr>
            <w:r>
              <w:rPr>
                <w:bCs/>
                <w:kern w:val="0"/>
                <w:sz w:val="22"/>
                <w:szCs w:val="22"/>
              </w:rPr>
              <w:t>（2）苯：理化特性、接触机会、临床表现、预防</w:t>
            </w:r>
          </w:p>
        </w:tc>
        <w:tc>
          <w:tcPr>
            <w:tcW w:w="543" w:type="pct"/>
            <w:tcBorders>
              <w:bottom w:val="single" w:color="auto" w:sz="4" w:space="0"/>
            </w:tcBorders>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（3）甲苯和二甲苯：理化特性、接触机会、临床表现</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6．苯的氨基和硝基化合物中毒</w:t>
            </w:r>
          </w:p>
        </w:tc>
        <w:tc>
          <w:tcPr>
            <w:tcW w:w="2265" w:type="pct"/>
            <w:vAlign w:val="center"/>
          </w:tcPr>
          <w:p>
            <w:pPr>
              <w:widowControl/>
              <w:rPr>
                <w:bCs/>
                <w:kern w:val="0"/>
                <w:sz w:val="22"/>
                <w:szCs w:val="22"/>
              </w:rPr>
            </w:pPr>
            <w:r>
              <w:rPr>
                <w:bCs/>
                <w:kern w:val="0"/>
                <w:sz w:val="22"/>
                <w:szCs w:val="22"/>
              </w:rPr>
              <w:t>（1）毒作用的共同点</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（2）苯胺：理化特性、接触机会、临床表现和急救</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7．高分子化合物生产中的毒物中毒</w:t>
            </w:r>
          </w:p>
        </w:tc>
        <w:tc>
          <w:tcPr>
            <w:tcW w:w="2265" w:type="pct"/>
            <w:vAlign w:val="center"/>
          </w:tcPr>
          <w:p>
            <w:pPr>
              <w:widowControl/>
              <w:rPr>
                <w:bCs/>
                <w:kern w:val="0"/>
                <w:sz w:val="22"/>
                <w:szCs w:val="22"/>
              </w:rPr>
            </w:pPr>
            <w:r>
              <w:rPr>
                <w:bCs/>
                <w:kern w:val="0"/>
                <w:sz w:val="22"/>
                <w:szCs w:val="22"/>
              </w:rPr>
              <w:t>（1）高分子化合物的毒作用</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（2）氯乙烯：理化特性、接触机会、临床表现、预防</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8．农药中毒</w:t>
            </w:r>
          </w:p>
        </w:tc>
        <w:tc>
          <w:tcPr>
            <w:tcW w:w="2265" w:type="pct"/>
            <w:vAlign w:val="center"/>
          </w:tcPr>
          <w:p>
            <w:pPr>
              <w:widowControl/>
              <w:rPr>
                <w:bCs/>
                <w:kern w:val="0"/>
                <w:sz w:val="22"/>
                <w:szCs w:val="22"/>
              </w:rPr>
            </w:pPr>
            <w:r>
              <w:rPr>
                <w:bCs/>
                <w:kern w:val="0"/>
                <w:sz w:val="22"/>
                <w:szCs w:val="22"/>
              </w:rPr>
              <w:t>（1）有机磷农药：理化特性；接触机会；临床表现和处理原则</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w:t>
            </w:r>
            <w:r>
              <w:rPr>
                <w:bCs/>
                <w:spacing w:val="-6"/>
                <w:kern w:val="0"/>
                <w:sz w:val="22"/>
                <w:szCs w:val="22"/>
              </w:rPr>
              <w:t>拟除虫菊酯类农药：</w:t>
            </w:r>
            <w:r>
              <w:rPr>
                <w:bCs/>
                <w:kern w:val="0"/>
                <w:sz w:val="22"/>
                <w:szCs w:val="22"/>
              </w:rPr>
              <w:t>接触机会；临床表现和处理原则</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四、生产性粉尘与尘肺</w:t>
            </w:r>
          </w:p>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1．概述</w:t>
            </w:r>
          </w:p>
        </w:tc>
        <w:tc>
          <w:tcPr>
            <w:tcW w:w="2265" w:type="pct"/>
            <w:vAlign w:val="center"/>
          </w:tcPr>
          <w:p>
            <w:pPr>
              <w:widowControl/>
              <w:rPr>
                <w:bCs/>
                <w:kern w:val="0"/>
                <w:sz w:val="22"/>
                <w:szCs w:val="22"/>
              </w:rPr>
            </w:pPr>
            <w:r>
              <w:rPr>
                <w:bCs/>
                <w:kern w:val="0"/>
                <w:sz w:val="22"/>
                <w:szCs w:val="22"/>
              </w:rPr>
              <w:t>（1）生产性粉尘的来源与分类</w:t>
            </w:r>
          </w:p>
        </w:tc>
        <w:tc>
          <w:tcPr>
            <w:tcW w:w="543" w:type="pct"/>
            <w:vAlign w:val="center"/>
          </w:tcPr>
          <w:p>
            <w:pPr>
              <w:jc w:val="center"/>
              <w:rPr>
                <w:lang w:eastAsia="zh-Hans"/>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（2）生产性粉尘的理化特性及其卫生学意义</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（3）生产性粉尘对人体呼吸系统影响</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（4）尘肺的概念与分类</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（5）尘肺的诊断与预防</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2．矽肺</w:t>
            </w:r>
          </w:p>
        </w:tc>
        <w:tc>
          <w:tcPr>
            <w:tcW w:w="2265" w:type="pct"/>
            <w:vAlign w:val="center"/>
          </w:tcPr>
          <w:p>
            <w:pPr>
              <w:widowControl/>
              <w:rPr>
                <w:bCs/>
                <w:kern w:val="0"/>
                <w:sz w:val="22"/>
                <w:szCs w:val="22"/>
              </w:rPr>
            </w:pPr>
            <w:r>
              <w:rPr>
                <w:bCs/>
                <w:kern w:val="0"/>
                <w:sz w:val="22"/>
                <w:szCs w:val="22"/>
              </w:rPr>
              <w:t>（1）矽尘、矽肺概念</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（2）影响矽肺发病的因素</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（3）矽肺的病理改变</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（4）矽肺的X线表现及并发症</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3．硅酸盐尘肺</w:t>
            </w:r>
          </w:p>
        </w:tc>
        <w:tc>
          <w:tcPr>
            <w:tcW w:w="2265" w:type="pct"/>
            <w:vAlign w:val="center"/>
          </w:tcPr>
          <w:p>
            <w:pPr>
              <w:widowControl/>
              <w:rPr>
                <w:bCs/>
                <w:kern w:val="0"/>
                <w:sz w:val="22"/>
                <w:szCs w:val="22"/>
              </w:rPr>
            </w:pPr>
            <w:r>
              <w:rPr>
                <w:bCs/>
                <w:kern w:val="0"/>
                <w:sz w:val="22"/>
                <w:szCs w:val="22"/>
              </w:rPr>
              <w:t>（1）概述</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（2）石棉的接触机会</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w:t>
            </w:r>
            <w:r>
              <w:rPr>
                <w:rFonts w:hint="eastAsia"/>
                <w:bCs/>
                <w:kern w:val="0"/>
                <w:sz w:val="22"/>
                <w:szCs w:val="22"/>
              </w:rPr>
              <w:t>3</w:t>
            </w:r>
            <w:r>
              <w:rPr>
                <w:bCs/>
                <w:kern w:val="0"/>
                <w:sz w:val="22"/>
                <w:szCs w:val="22"/>
              </w:rPr>
              <w:t>）石棉肺病理变化与X线表现</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w:t>
            </w:r>
            <w:r>
              <w:rPr>
                <w:rFonts w:hint="eastAsia"/>
                <w:bCs/>
                <w:kern w:val="0"/>
                <w:sz w:val="22"/>
                <w:szCs w:val="22"/>
              </w:rPr>
              <w:t>4</w:t>
            </w:r>
            <w:r>
              <w:rPr>
                <w:bCs/>
                <w:kern w:val="0"/>
                <w:sz w:val="22"/>
                <w:szCs w:val="22"/>
              </w:rPr>
              <w:t>）石棉粉尘的致癌性</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4．煤工尘肺</w:t>
            </w:r>
          </w:p>
        </w:tc>
        <w:tc>
          <w:tcPr>
            <w:tcW w:w="2265" w:type="pct"/>
            <w:vAlign w:val="center"/>
          </w:tcPr>
          <w:p>
            <w:pPr>
              <w:widowControl/>
              <w:rPr>
                <w:bCs/>
                <w:kern w:val="0"/>
                <w:sz w:val="22"/>
                <w:szCs w:val="22"/>
              </w:rPr>
            </w:pPr>
            <w:r>
              <w:rPr>
                <w:bCs/>
                <w:kern w:val="0"/>
                <w:sz w:val="22"/>
                <w:szCs w:val="22"/>
              </w:rPr>
              <w:t>（1）</w:t>
            </w:r>
            <w:r>
              <w:rPr>
                <w:rFonts w:hint="eastAsia"/>
                <w:bCs/>
                <w:kern w:val="0"/>
                <w:sz w:val="22"/>
                <w:szCs w:val="22"/>
              </w:rPr>
              <w:t>煤矿粉尘</w:t>
            </w:r>
            <w:r>
              <w:rPr>
                <w:bCs/>
                <w:kern w:val="0"/>
                <w:sz w:val="22"/>
                <w:szCs w:val="22"/>
              </w:rPr>
              <w:t>的接触机会</w:t>
            </w:r>
          </w:p>
        </w:tc>
        <w:tc>
          <w:tcPr>
            <w:tcW w:w="543" w:type="pct"/>
            <w:vAlign w:val="center"/>
          </w:tcPr>
          <w:p>
            <w:pPr>
              <w:widowControl/>
              <w:jc w:val="center"/>
              <w:rPr>
                <w:bCs/>
                <w:kern w:val="0"/>
                <w:sz w:val="22"/>
                <w:szCs w:val="22"/>
              </w:rPr>
            </w:pPr>
            <w:r>
              <w:rPr>
                <w:bCs/>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（2）煤工尘肺的病理变化</w:t>
            </w:r>
          </w:p>
        </w:tc>
        <w:tc>
          <w:tcPr>
            <w:tcW w:w="543" w:type="pct"/>
            <w:vAlign w:val="center"/>
          </w:tcPr>
          <w:p>
            <w:pPr>
              <w:widowControl/>
              <w:jc w:val="center"/>
              <w:rPr>
                <w:bCs/>
                <w:kern w:val="0"/>
                <w:sz w:val="22"/>
                <w:szCs w:val="22"/>
              </w:rPr>
            </w:pPr>
            <w:r>
              <w:rPr>
                <w:bCs/>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五、物理因素对机体的影响</w:t>
            </w:r>
          </w:p>
        </w:tc>
        <w:tc>
          <w:tcPr>
            <w:tcW w:w="1254" w:type="pct"/>
            <w:vMerge w:val="restart"/>
            <w:vAlign w:val="center"/>
          </w:tcPr>
          <w:p>
            <w:pPr>
              <w:widowControl/>
              <w:rPr>
                <w:bCs/>
                <w:kern w:val="0"/>
                <w:sz w:val="22"/>
                <w:szCs w:val="22"/>
              </w:rPr>
            </w:pPr>
            <w:r>
              <w:rPr>
                <w:bCs/>
                <w:kern w:val="0"/>
                <w:sz w:val="22"/>
                <w:szCs w:val="22"/>
              </w:rPr>
              <w:t>1．概念</w:t>
            </w:r>
          </w:p>
        </w:tc>
        <w:tc>
          <w:tcPr>
            <w:tcW w:w="2265" w:type="pct"/>
            <w:vAlign w:val="center"/>
          </w:tcPr>
          <w:p>
            <w:pPr>
              <w:widowControl/>
              <w:rPr>
                <w:bCs/>
                <w:kern w:val="0"/>
                <w:sz w:val="22"/>
                <w:szCs w:val="22"/>
              </w:rPr>
            </w:pPr>
            <w:r>
              <w:rPr>
                <w:bCs/>
                <w:kern w:val="0"/>
                <w:sz w:val="22"/>
                <w:szCs w:val="22"/>
              </w:rPr>
              <w:t>（1）物理因素分类</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（2）物理因素的特点</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2．高温及低温</w:t>
            </w:r>
          </w:p>
        </w:tc>
        <w:tc>
          <w:tcPr>
            <w:tcW w:w="2265" w:type="pct"/>
            <w:vAlign w:val="center"/>
          </w:tcPr>
          <w:p>
            <w:pPr>
              <w:widowControl/>
              <w:rPr>
                <w:bCs/>
                <w:kern w:val="0"/>
                <w:sz w:val="22"/>
                <w:szCs w:val="22"/>
              </w:rPr>
            </w:pPr>
            <w:r>
              <w:rPr>
                <w:bCs/>
                <w:kern w:val="0"/>
                <w:sz w:val="22"/>
                <w:szCs w:val="22"/>
              </w:rPr>
              <w:t>（1）生产环境的气象条件</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（2）高温作业的概念及其主要类型</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（3）高温作业对机体生理功能的影响</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（4）中暑的概念</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（5）中暑的类型、机制及临床表现</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（6）职业性中暑的诊断及处理原则</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（7）防暑降温措施</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tcBorders>
              <w:bottom w:val="single" w:color="auto" w:sz="4" w:space="0"/>
            </w:tcBorders>
            <w:vAlign w:val="center"/>
          </w:tcPr>
          <w:p>
            <w:pPr>
              <w:widowControl/>
              <w:rPr>
                <w:bCs/>
                <w:kern w:val="0"/>
                <w:sz w:val="22"/>
                <w:szCs w:val="22"/>
              </w:rPr>
            </w:pPr>
            <w:r>
              <w:rPr>
                <w:bCs/>
                <w:kern w:val="0"/>
                <w:sz w:val="22"/>
                <w:szCs w:val="22"/>
              </w:rPr>
              <w:t>（8）低温作业概念</w:t>
            </w:r>
          </w:p>
        </w:tc>
        <w:tc>
          <w:tcPr>
            <w:tcW w:w="543" w:type="pct"/>
            <w:tcBorders>
              <w:bottom w:val="single" w:color="auto" w:sz="4" w:space="0"/>
            </w:tcBorders>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38" w:type="pct"/>
            <w:vMerge w:val="continue"/>
            <w:vAlign w:val="center"/>
          </w:tcPr>
          <w:p>
            <w:pPr>
              <w:widowControl/>
              <w:rPr>
                <w:bCs/>
                <w:kern w:val="0"/>
                <w:sz w:val="22"/>
                <w:szCs w:val="22"/>
              </w:rPr>
            </w:pPr>
          </w:p>
        </w:tc>
        <w:tc>
          <w:tcPr>
            <w:tcW w:w="1254" w:type="pct"/>
            <w:vMerge w:val="continue"/>
            <w:tcBorders>
              <w:bottom w:val="single" w:color="auto" w:sz="4" w:space="0"/>
            </w:tcBorders>
            <w:vAlign w:val="center"/>
          </w:tcPr>
          <w:p>
            <w:pPr>
              <w:widowControl/>
              <w:rPr>
                <w:bCs/>
                <w:kern w:val="0"/>
                <w:sz w:val="22"/>
                <w:szCs w:val="22"/>
              </w:rPr>
            </w:pPr>
          </w:p>
        </w:tc>
        <w:tc>
          <w:tcPr>
            <w:tcW w:w="2265" w:type="pct"/>
            <w:tcBorders>
              <w:bottom w:val="single" w:color="auto" w:sz="4" w:space="0"/>
            </w:tcBorders>
            <w:vAlign w:val="center"/>
          </w:tcPr>
          <w:p>
            <w:pPr>
              <w:widowControl/>
              <w:rPr>
                <w:bCs/>
                <w:kern w:val="0"/>
                <w:sz w:val="22"/>
                <w:szCs w:val="22"/>
              </w:rPr>
            </w:pPr>
            <w:r>
              <w:rPr>
                <w:bCs/>
                <w:kern w:val="0"/>
                <w:sz w:val="22"/>
                <w:szCs w:val="22"/>
              </w:rPr>
              <w:t>（9）低温对生理功能和作业的影响及预防措施</w:t>
            </w:r>
          </w:p>
        </w:tc>
        <w:tc>
          <w:tcPr>
            <w:tcW w:w="543" w:type="pct"/>
            <w:tcBorders>
              <w:bottom w:val="single" w:color="auto" w:sz="4" w:space="0"/>
            </w:tcBorders>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3．噪声</w:t>
            </w:r>
          </w:p>
        </w:tc>
        <w:tc>
          <w:tcPr>
            <w:tcW w:w="2265" w:type="pct"/>
            <w:vAlign w:val="center"/>
          </w:tcPr>
          <w:p>
            <w:pPr>
              <w:widowControl/>
              <w:rPr>
                <w:bCs/>
                <w:kern w:val="0"/>
                <w:sz w:val="22"/>
                <w:szCs w:val="22"/>
              </w:rPr>
            </w:pPr>
            <w:r>
              <w:rPr>
                <w:bCs/>
                <w:kern w:val="0"/>
                <w:sz w:val="22"/>
                <w:szCs w:val="22"/>
              </w:rPr>
              <w:t>（1）生产性噪声的概念、来源及分类</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（2）噪声对听觉系统的危害</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（3）预防噪声危害的措施</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4．振动</w:t>
            </w:r>
          </w:p>
        </w:tc>
        <w:tc>
          <w:tcPr>
            <w:tcW w:w="2265" w:type="pct"/>
            <w:vAlign w:val="center"/>
          </w:tcPr>
          <w:p>
            <w:pPr>
              <w:widowControl/>
              <w:rPr>
                <w:bCs/>
                <w:kern w:val="0"/>
                <w:sz w:val="22"/>
                <w:szCs w:val="22"/>
              </w:rPr>
            </w:pPr>
            <w:r>
              <w:rPr>
                <w:bCs/>
                <w:kern w:val="0"/>
                <w:sz w:val="22"/>
                <w:szCs w:val="22"/>
              </w:rPr>
              <w:t>（1）振动对人体的危害</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（2）手臂振动病</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（3）预防措施</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5．非电离辐射</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（2）微波对机体的影响</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（3）红外辐射对机体的影响</w:t>
            </w:r>
          </w:p>
        </w:tc>
        <w:tc>
          <w:tcPr>
            <w:tcW w:w="543" w:type="pct"/>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（4）紫外辐射对机体的影响</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6．电离辐射</w:t>
            </w:r>
          </w:p>
        </w:tc>
        <w:tc>
          <w:tcPr>
            <w:tcW w:w="2265" w:type="pct"/>
            <w:vAlign w:val="center"/>
          </w:tcPr>
          <w:p>
            <w:pPr>
              <w:widowControl/>
              <w:rPr>
                <w:bCs/>
                <w:kern w:val="0"/>
                <w:sz w:val="22"/>
                <w:szCs w:val="22"/>
              </w:rPr>
            </w:pPr>
            <w:r>
              <w:rPr>
                <w:bCs/>
                <w:kern w:val="0"/>
                <w:sz w:val="22"/>
                <w:szCs w:val="22"/>
              </w:rPr>
              <w:t>（1）电离辐射的概念</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（2）电离辐射对机体的作用</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（3）放射防护的基本方法</w:t>
            </w:r>
          </w:p>
        </w:tc>
        <w:tc>
          <w:tcPr>
            <w:tcW w:w="543" w:type="pct"/>
            <w:vAlign w:val="center"/>
          </w:tcPr>
          <w:p>
            <w:pPr>
              <w:jc w:val="cente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六、职业性肿瘤</w:t>
            </w:r>
          </w:p>
        </w:tc>
        <w:tc>
          <w:tcPr>
            <w:tcW w:w="1254" w:type="pct"/>
            <w:vMerge w:val="restart"/>
            <w:vAlign w:val="center"/>
          </w:tcPr>
          <w:p>
            <w:pPr>
              <w:widowControl/>
              <w:rPr>
                <w:bCs/>
                <w:kern w:val="0"/>
                <w:sz w:val="22"/>
                <w:szCs w:val="22"/>
              </w:rPr>
            </w:pPr>
            <w:r>
              <w:rPr>
                <w:bCs/>
                <w:kern w:val="0"/>
                <w:sz w:val="22"/>
                <w:szCs w:val="22"/>
              </w:rPr>
              <w:t>职业性肿瘤</w:t>
            </w:r>
          </w:p>
        </w:tc>
        <w:tc>
          <w:tcPr>
            <w:tcW w:w="2265" w:type="pct"/>
            <w:vAlign w:val="center"/>
          </w:tcPr>
          <w:p>
            <w:pPr>
              <w:widowControl/>
              <w:rPr>
                <w:bCs/>
                <w:kern w:val="0"/>
                <w:sz w:val="22"/>
                <w:szCs w:val="22"/>
              </w:rPr>
            </w:pPr>
            <w:r>
              <w:rPr>
                <w:bCs/>
                <w:kern w:val="0"/>
                <w:sz w:val="22"/>
                <w:szCs w:val="22"/>
              </w:rPr>
              <w:t>（1）职业性致癌因素的作用特征及分类</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（2）职业性肿瘤的分类</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（3）职业性肿瘤的预防原则</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七、妇女职业卫生</w:t>
            </w:r>
          </w:p>
        </w:tc>
        <w:tc>
          <w:tcPr>
            <w:tcW w:w="1254" w:type="pct"/>
            <w:vMerge w:val="restart"/>
            <w:vAlign w:val="center"/>
          </w:tcPr>
          <w:p>
            <w:pPr>
              <w:widowControl/>
              <w:rPr>
                <w:bCs/>
                <w:kern w:val="0"/>
                <w:sz w:val="22"/>
                <w:szCs w:val="22"/>
              </w:rPr>
            </w:pPr>
            <w:r>
              <w:rPr>
                <w:bCs/>
                <w:kern w:val="0"/>
                <w:sz w:val="22"/>
                <w:szCs w:val="22"/>
              </w:rPr>
              <w:t>妇女职业卫生</w:t>
            </w:r>
          </w:p>
        </w:tc>
        <w:tc>
          <w:tcPr>
            <w:tcW w:w="2265" w:type="pct"/>
            <w:vAlign w:val="center"/>
          </w:tcPr>
          <w:p>
            <w:pPr>
              <w:widowControl/>
              <w:rPr>
                <w:bCs/>
                <w:kern w:val="0"/>
                <w:sz w:val="22"/>
                <w:szCs w:val="22"/>
              </w:rPr>
            </w:pPr>
            <w:r>
              <w:rPr>
                <w:bCs/>
                <w:kern w:val="0"/>
                <w:sz w:val="22"/>
                <w:szCs w:val="22"/>
              </w:rPr>
              <w:t>（1）职业性有害因素对妇女的特殊影响</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（2）妇女职业卫生保护的主要措施</w:t>
            </w:r>
          </w:p>
        </w:tc>
        <w:tc>
          <w:tcPr>
            <w:tcW w:w="543" w:type="pct"/>
            <w:vAlign w:val="center"/>
          </w:tcPr>
          <w:p>
            <w:pPr>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938" w:type="pct"/>
            <w:vMerge w:val="restart"/>
            <w:vAlign w:val="center"/>
          </w:tcPr>
          <w:p>
            <w:pPr>
              <w:widowControl/>
              <w:rPr>
                <w:bCs/>
                <w:kern w:val="0"/>
                <w:sz w:val="22"/>
                <w:szCs w:val="22"/>
              </w:rPr>
            </w:pPr>
            <w:r>
              <w:rPr>
                <w:bCs/>
                <w:kern w:val="0"/>
                <w:sz w:val="22"/>
                <w:szCs w:val="22"/>
              </w:rPr>
              <w:t>八、农村职业卫生</w:t>
            </w:r>
          </w:p>
        </w:tc>
        <w:tc>
          <w:tcPr>
            <w:tcW w:w="1254" w:type="pct"/>
            <w:vMerge w:val="restart"/>
            <w:vAlign w:val="center"/>
          </w:tcPr>
          <w:p>
            <w:pPr>
              <w:widowControl/>
              <w:rPr>
                <w:bCs/>
                <w:kern w:val="0"/>
                <w:sz w:val="22"/>
                <w:szCs w:val="22"/>
              </w:rPr>
            </w:pPr>
            <w:r>
              <w:rPr>
                <w:bCs/>
                <w:kern w:val="0"/>
                <w:sz w:val="22"/>
                <w:szCs w:val="22"/>
              </w:rPr>
              <w:t>农村职业卫生</w:t>
            </w:r>
          </w:p>
        </w:tc>
        <w:tc>
          <w:tcPr>
            <w:tcW w:w="2265" w:type="pct"/>
            <w:vAlign w:val="center"/>
          </w:tcPr>
          <w:p>
            <w:pPr>
              <w:widowControl/>
              <w:rPr>
                <w:bCs/>
                <w:kern w:val="0"/>
                <w:sz w:val="22"/>
                <w:szCs w:val="22"/>
              </w:rPr>
            </w:pPr>
            <w:r>
              <w:rPr>
                <w:bCs/>
                <w:kern w:val="0"/>
                <w:sz w:val="22"/>
                <w:szCs w:val="22"/>
              </w:rPr>
              <w:t>（1）农业生产的职业卫生</w:t>
            </w:r>
          </w:p>
        </w:tc>
        <w:tc>
          <w:tcPr>
            <w:tcW w:w="543" w:type="pct"/>
            <w:vAlign w:val="center"/>
          </w:tcPr>
          <w:p>
            <w:pPr>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（2）乡镇企业职业卫生特点和服务内容</w:t>
            </w:r>
          </w:p>
        </w:tc>
        <w:tc>
          <w:tcPr>
            <w:tcW w:w="543" w:type="pct"/>
            <w:vAlign w:val="center"/>
          </w:tcPr>
          <w:p>
            <w:pPr>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九、职业性有害因素的识别与评价</w:t>
            </w:r>
          </w:p>
        </w:tc>
        <w:tc>
          <w:tcPr>
            <w:tcW w:w="1254" w:type="pct"/>
            <w:vMerge w:val="restart"/>
            <w:vAlign w:val="center"/>
          </w:tcPr>
          <w:p>
            <w:pPr>
              <w:widowControl/>
              <w:rPr>
                <w:bCs/>
                <w:kern w:val="0"/>
                <w:sz w:val="22"/>
                <w:szCs w:val="22"/>
              </w:rPr>
            </w:pPr>
            <w:r>
              <w:rPr>
                <w:bCs/>
                <w:kern w:val="0"/>
                <w:sz w:val="22"/>
                <w:szCs w:val="22"/>
              </w:rPr>
              <w:t>1．职业环境监测</w:t>
            </w:r>
          </w:p>
        </w:tc>
        <w:tc>
          <w:tcPr>
            <w:tcW w:w="2265" w:type="pct"/>
            <w:vAlign w:val="center"/>
          </w:tcPr>
          <w:p>
            <w:pPr>
              <w:widowControl/>
              <w:rPr>
                <w:bCs/>
                <w:kern w:val="0"/>
                <w:sz w:val="22"/>
                <w:szCs w:val="22"/>
              </w:rPr>
            </w:pPr>
            <w:r>
              <w:rPr>
                <w:bCs/>
                <w:kern w:val="0"/>
                <w:sz w:val="22"/>
                <w:szCs w:val="22"/>
              </w:rPr>
              <w:t>（1）监测对象的确定</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（2）空气样品的采集</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（3）采样方式</w:t>
            </w:r>
          </w:p>
        </w:tc>
        <w:tc>
          <w:tcPr>
            <w:tcW w:w="543" w:type="pct"/>
            <w:vAlign w:val="center"/>
          </w:tcPr>
          <w:p>
            <w:pPr>
              <w:jc w:val="center"/>
              <w:rPr>
                <w:lang w:eastAsia="zh-Hans"/>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（4）监测策略</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2．生物监测</w:t>
            </w:r>
          </w:p>
        </w:tc>
        <w:tc>
          <w:tcPr>
            <w:tcW w:w="2265" w:type="pct"/>
            <w:vAlign w:val="center"/>
          </w:tcPr>
          <w:p>
            <w:pPr>
              <w:widowControl/>
              <w:rPr>
                <w:bCs/>
                <w:kern w:val="0"/>
                <w:sz w:val="22"/>
                <w:szCs w:val="22"/>
              </w:rPr>
            </w:pPr>
            <w:r>
              <w:rPr>
                <w:bCs/>
                <w:kern w:val="0"/>
                <w:sz w:val="22"/>
                <w:szCs w:val="22"/>
              </w:rPr>
              <w:t>（1）生物标志物与生物监测</w:t>
            </w:r>
          </w:p>
        </w:tc>
        <w:tc>
          <w:tcPr>
            <w:tcW w:w="543" w:type="pct"/>
            <w:vAlign w:val="center"/>
          </w:tcPr>
          <w:p>
            <w:pPr>
              <w:jc w:val="cente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（2）生物接触限值</w:t>
            </w:r>
          </w:p>
        </w:tc>
        <w:tc>
          <w:tcPr>
            <w:tcW w:w="543" w:type="pct"/>
            <w:vAlign w:val="center"/>
          </w:tcPr>
          <w:p>
            <w:pPr>
              <w:jc w:val="center"/>
              <w:rPr>
                <w:lang w:eastAsia="zh-Hans"/>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3．职业卫生调查</w:t>
            </w:r>
          </w:p>
        </w:tc>
        <w:tc>
          <w:tcPr>
            <w:tcW w:w="2265" w:type="pct"/>
            <w:vAlign w:val="center"/>
          </w:tcPr>
          <w:p>
            <w:pPr>
              <w:widowControl/>
              <w:rPr>
                <w:bCs/>
                <w:kern w:val="0"/>
                <w:sz w:val="22"/>
                <w:szCs w:val="22"/>
              </w:rPr>
            </w:pPr>
            <w:r>
              <w:rPr>
                <w:bCs/>
                <w:kern w:val="0"/>
                <w:sz w:val="22"/>
                <w:szCs w:val="22"/>
              </w:rPr>
              <w:t>（1）职业卫生调查形式</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（2）职业卫生调查步骤</w:t>
            </w:r>
          </w:p>
        </w:tc>
        <w:tc>
          <w:tcPr>
            <w:tcW w:w="543" w:type="pct"/>
            <w:vAlign w:val="center"/>
          </w:tcPr>
          <w:p>
            <w:pPr>
              <w:jc w:val="cente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4．职业性有害因素的评价</w:t>
            </w:r>
          </w:p>
        </w:tc>
        <w:tc>
          <w:tcPr>
            <w:tcW w:w="2265" w:type="pct"/>
            <w:vAlign w:val="center"/>
          </w:tcPr>
          <w:p>
            <w:pPr>
              <w:widowControl/>
              <w:rPr>
                <w:bCs/>
                <w:kern w:val="0"/>
                <w:sz w:val="22"/>
                <w:szCs w:val="22"/>
              </w:rPr>
            </w:pPr>
            <w:r>
              <w:rPr>
                <w:bCs/>
                <w:kern w:val="0"/>
                <w:sz w:val="22"/>
                <w:szCs w:val="22"/>
              </w:rPr>
              <w:t>（1）职业病危害预评价</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（2）职业病危害控制效果评价</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（3）职业病危害现状评价</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bCs/>
                <w:kern w:val="0"/>
                <w:sz w:val="22"/>
                <w:szCs w:val="22"/>
              </w:rPr>
            </w:pPr>
            <w:r>
              <w:rPr>
                <w:bCs/>
                <w:kern w:val="0"/>
                <w:sz w:val="22"/>
                <w:szCs w:val="22"/>
              </w:rPr>
              <w:t>十、职业性有害因素的预防与控制</w:t>
            </w:r>
          </w:p>
        </w:tc>
        <w:tc>
          <w:tcPr>
            <w:tcW w:w="1254" w:type="pct"/>
            <w:vMerge w:val="restart"/>
            <w:vAlign w:val="center"/>
          </w:tcPr>
          <w:p>
            <w:pPr>
              <w:widowControl/>
              <w:rPr>
                <w:bCs/>
                <w:kern w:val="0"/>
                <w:sz w:val="22"/>
                <w:szCs w:val="22"/>
              </w:rPr>
            </w:pPr>
            <w:r>
              <w:rPr>
                <w:bCs/>
                <w:kern w:val="0"/>
                <w:sz w:val="22"/>
                <w:szCs w:val="22"/>
              </w:rPr>
              <w:t>1．职业卫生法律法规与监督管理</w:t>
            </w:r>
          </w:p>
        </w:tc>
        <w:tc>
          <w:tcPr>
            <w:tcW w:w="2265" w:type="pct"/>
            <w:vAlign w:val="center"/>
          </w:tcPr>
          <w:p>
            <w:pPr>
              <w:widowControl/>
              <w:rPr>
                <w:bCs/>
                <w:kern w:val="0"/>
                <w:sz w:val="22"/>
                <w:szCs w:val="22"/>
              </w:rPr>
            </w:pPr>
            <w:r>
              <w:rPr>
                <w:bCs/>
                <w:kern w:val="0"/>
                <w:sz w:val="22"/>
                <w:szCs w:val="22"/>
              </w:rPr>
              <w:t>（1）职业病防治法</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（2）职业病防治法相关配套法规与规章</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（3）职业卫生标准</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2．职业卫生工程技术</w:t>
            </w:r>
          </w:p>
        </w:tc>
        <w:tc>
          <w:tcPr>
            <w:tcW w:w="2265" w:type="pct"/>
            <w:vAlign w:val="center"/>
          </w:tcPr>
          <w:p>
            <w:pPr>
              <w:widowControl/>
              <w:rPr>
                <w:bCs/>
                <w:kern w:val="0"/>
                <w:sz w:val="22"/>
                <w:szCs w:val="22"/>
              </w:rPr>
            </w:pPr>
            <w:r>
              <w:rPr>
                <w:bCs/>
                <w:kern w:val="0"/>
                <w:sz w:val="22"/>
                <w:szCs w:val="22"/>
              </w:rPr>
              <w:t>（1）工业通风</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（2）工业除尘</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（3）采光与照明</w:t>
            </w:r>
          </w:p>
        </w:tc>
        <w:tc>
          <w:tcPr>
            <w:tcW w:w="543" w:type="pct"/>
            <w:vAlign w:val="center"/>
          </w:tcPr>
          <w:p>
            <w:pPr>
              <w:jc w:val="cente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3．个人防护用品</w:t>
            </w:r>
          </w:p>
        </w:tc>
        <w:tc>
          <w:tcPr>
            <w:tcW w:w="2265" w:type="pct"/>
            <w:vAlign w:val="center"/>
          </w:tcPr>
          <w:p>
            <w:pPr>
              <w:widowControl/>
              <w:rPr>
                <w:bCs/>
                <w:kern w:val="0"/>
                <w:sz w:val="22"/>
                <w:szCs w:val="22"/>
              </w:rPr>
            </w:pPr>
            <w:r>
              <w:rPr>
                <w:bCs/>
                <w:kern w:val="0"/>
                <w:sz w:val="22"/>
                <w:szCs w:val="22"/>
              </w:rPr>
              <w:t>（1）防护头盔，眼镜，面罩，防护服和防护鞋</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（2）呼吸防护器</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（3）防噪声用具</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（4）皮肤防护用品</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（5）复合防护用品</w:t>
            </w:r>
          </w:p>
        </w:tc>
        <w:tc>
          <w:tcPr>
            <w:tcW w:w="543" w:type="pct"/>
            <w:vAlign w:val="center"/>
          </w:tcPr>
          <w:p>
            <w:pPr>
              <w:widowControl/>
              <w:jc w:val="center"/>
              <w:rPr>
                <w:bCs/>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4．职业卫生保健</w:t>
            </w:r>
          </w:p>
        </w:tc>
        <w:tc>
          <w:tcPr>
            <w:tcW w:w="2265" w:type="pct"/>
            <w:vAlign w:val="center"/>
          </w:tcPr>
          <w:p>
            <w:pPr>
              <w:widowControl/>
              <w:rPr>
                <w:bCs/>
                <w:kern w:val="0"/>
                <w:sz w:val="22"/>
                <w:szCs w:val="22"/>
              </w:rPr>
            </w:pPr>
            <w:r>
              <w:rPr>
                <w:bCs/>
                <w:kern w:val="0"/>
                <w:sz w:val="22"/>
                <w:szCs w:val="22"/>
              </w:rPr>
              <w:t>（1）职业生命质量</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（2）职业卫生服务</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（3）工作场所健康促进</w:t>
            </w:r>
          </w:p>
        </w:tc>
        <w:tc>
          <w:tcPr>
            <w:tcW w:w="543" w:type="pct"/>
            <w:vAlign w:val="center"/>
          </w:tcPr>
          <w:p>
            <w:pPr>
              <w:jc w:val="cente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5．职业健康监护</w:t>
            </w:r>
          </w:p>
        </w:tc>
        <w:tc>
          <w:tcPr>
            <w:tcW w:w="2265" w:type="pct"/>
            <w:vAlign w:val="center"/>
          </w:tcPr>
          <w:p>
            <w:pPr>
              <w:widowControl/>
              <w:rPr>
                <w:bCs/>
                <w:kern w:val="0"/>
                <w:sz w:val="22"/>
                <w:szCs w:val="22"/>
              </w:rPr>
            </w:pPr>
            <w:r>
              <w:rPr>
                <w:bCs/>
                <w:kern w:val="0"/>
                <w:sz w:val="22"/>
                <w:szCs w:val="22"/>
              </w:rPr>
              <w:t>（1）医学监护</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（2）职业健康监护信息管理</w:t>
            </w:r>
          </w:p>
        </w:tc>
        <w:tc>
          <w:tcPr>
            <w:tcW w:w="543" w:type="pct"/>
            <w:vAlign w:val="center"/>
          </w:tcPr>
          <w:p>
            <w:pPr>
              <w:jc w:val="cente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（3）职业工伤与职业病致残程度鉴定</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6．职业安全管理</w:t>
            </w:r>
          </w:p>
        </w:tc>
        <w:tc>
          <w:tcPr>
            <w:tcW w:w="2265" w:type="pct"/>
            <w:vAlign w:val="center"/>
          </w:tcPr>
          <w:p>
            <w:pPr>
              <w:widowControl/>
              <w:rPr>
                <w:bCs/>
                <w:kern w:val="0"/>
                <w:sz w:val="22"/>
                <w:szCs w:val="22"/>
              </w:rPr>
            </w:pPr>
            <w:r>
              <w:rPr>
                <w:bCs/>
                <w:kern w:val="0"/>
                <w:sz w:val="22"/>
                <w:szCs w:val="22"/>
              </w:rPr>
              <w:t>（1）职业安全健康管理与事故预防策略</w:t>
            </w:r>
          </w:p>
        </w:tc>
        <w:tc>
          <w:tcPr>
            <w:tcW w:w="543" w:type="pct"/>
            <w:vAlign w:val="center"/>
          </w:tcPr>
          <w:p>
            <w:pPr>
              <w:widowControl/>
              <w:jc w:val="center"/>
              <w:rPr>
                <w:bCs/>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vAlign w:val="center"/>
          </w:tcPr>
          <w:p>
            <w:pPr>
              <w:widowControl/>
              <w:rPr>
                <w:bCs/>
                <w:kern w:val="0"/>
                <w:sz w:val="22"/>
                <w:szCs w:val="22"/>
              </w:rPr>
            </w:pPr>
          </w:p>
        </w:tc>
        <w:tc>
          <w:tcPr>
            <w:tcW w:w="1254" w:type="pct"/>
            <w:vMerge w:val="continue"/>
            <w:tcBorders>
              <w:bottom w:val="single" w:color="auto" w:sz="4" w:space="0"/>
            </w:tcBorders>
            <w:vAlign w:val="center"/>
          </w:tcPr>
          <w:p>
            <w:pPr>
              <w:widowControl/>
              <w:rPr>
                <w:bCs/>
                <w:kern w:val="0"/>
                <w:sz w:val="22"/>
                <w:szCs w:val="22"/>
              </w:rPr>
            </w:pPr>
          </w:p>
        </w:tc>
        <w:tc>
          <w:tcPr>
            <w:tcW w:w="2265" w:type="pct"/>
            <w:tcBorders>
              <w:bottom w:val="single" w:color="auto" w:sz="4" w:space="0"/>
            </w:tcBorders>
            <w:vAlign w:val="center"/>
          </w:tcPr>
          <w:p>
            <w:pPr>
              <w:widowControl/>
              <w:rPr>
                <w:bCs/>
                <w:kern w:val="0"/>
                <w:sz w:val="22"/>
                <w:szCs w:val="22"/>
              </w:rPr>
            </w:pPr>
            <w:r>
              <w:rPr>
                <w:bCs/>
                <w:kern w:val="0"/>
                <w:sz w:val="22"/>
                <w:szCs w:val="22"/>
              </w:rPr>
              <w:t>（2）职业卫生突发事件应急处理</w:t>
            </w:r>
          </w:p>
        </w:tc>
        <w:tc>
          <w:tcPr>
            <w:tcW w:w="543" w:type="pct"/>
            <w:tcBorders>
              <w:bottom w:val="single" w:color="auto" w:sz="4" w:space="0"/>
            </w:tcBorders>
            <w:vAlign w:val="center"/>
          </w:tcPr>
          <w:p>
            <w:pPr>
              <w:widowControl/>
              <w:jc w:val="center"/>
              <w:rPr>
                <w:bCs/>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4"/>
            <w:tcBorders>
              <w:left w:val="nil"/>
              <w:right w:val="nil"/>
            </w:tcBorders>
            <w:vAlign w:val="center"/>
          </w:tcPr>
          <w:p>
            <w:pPr>
              <w:pStyle w:val="77"/>
              <w:spacing w:before="93" w:beforeLines="30" w:after="93" w:afterLines="30"/>
            </w:pPr>
            <w:bookmarkStart w:id="40" w:name="_Toc142388625"/>
            <w:bookmarkStart w:id="41" w:name="_Toc144217068"/>
            <w:r>
              <w:rPr>
                <w:rFonts w:hint="eastAsia"/>
              </w:rPr>
              <w:t>五、</w:t>
            </w:r>
            <w:r>
              <w:t>营养与食品卫生学</w:t>
            </w:r>
            <w:bookmarkEnd w:id="40"/>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rPr>
                <w:kern w:val="0"/>
                <w:sz w:val="22"/>
                <w:szCs w:val="22"/>
              </w:rPr>
            </w:pPr>
            <w:r>
              <w:rPr>
                <w:kern w:val="0"/>
                <w:sz w:val="22"/>
                <w:szCs w:val="22"/>
              </w:rPr>
              <w:t>一、营养学基础</w:t>
            </w:r>
          </w:p>
        </w:tc>
        <w:tc>
          <w:tcPr>
            <w:tcW w:w="1254" w:type="pct"/>
            <w:vMerge w:val="restart"/>
            <w:vAlign w:val="center"/>
          </w:tcPr>
          <w:p>
            <w:pPr>
              <w:widowControl/>
              <w:rPr>
                <w:kern w:val="0"/>
                <w:sz w:val="22"/>
                <w:szCs w:val="22"/>
              </w:rPr>
            </w:pPr>
            <w:r>
              <w:rPr>
                <w:kern w:val="0"/>
                <w:sz w:val="22"/>
                <w:szCs w:val="22"/>
              </w:rPr>
              <w:t>1．概述</w:t>
            </w:r>
          </w:p>
        </w:tc>
        <w:tc>
          <w:tcPr>
            <w:tcW w:w="2265" w:type="pct"/>
            <w:vAlign w:val="center"/>
          </w:tcPr>
          <w:p>
            <w:pPr>
              <w:widowControl/>
              <w:rPr>
                <w:kern w:val="0"/>
                <w:sz w:val="22"/>
                <w:szCs w:val="22"/>
              </w:rPr>
            </w:pPr>
            <w:r>
              <w:rPr>
                <w:kern w:val="0"/>
                <w:sz w:val="22"/>
                <w:szCs w:val="22"/>
              </w:rPr>
              <w:t>（1）营养、营养素的概念</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（2）营养与人体健康的关系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2．蛋白质</w:t>
            </w:r>
          </w:p>
        </w:tc>
        <w:tc>
          <w:tcPr>
            <w:tcW w:w="2265" w:type="pct"/>
            <w:vAlign w:val="center"/>
          </w:tcPr>
          <w:p>
            <w:pPr>
              <w:widowControl/>
              <w:rPr>
                <w:kern w:val="0"/>
                <w:sz w:val="22"/>
                <w:szCs w:val="22"/>
              </w:rPr>
            </w:pPr>
            <w:r>
              <w:rPr>
                <w:kern w:val="0"/>
                <w:sz w:val="22"/>
                <w:szCs w:val="22"/>
              </w:rPr>
              <w:t>（1）生理功能</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（2）必需氨基酸、氨基酸模式、限制氨基酸</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（3）食物蛋白质营养价值评价</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（4）人体蛋白质缺乏</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（5）参考摄入量及食物来源</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3．脂类</w:t>
            </w:r>
          </w:p>
        </w:tc>
        <w:tc>
          <w:tcPr>
            <w:tcW w:w="2265" w:type="pct"/>
            <w:vAlign w:val="center"/>
          </w:tcPr>
          <w:p>
            <w:pPr>
              <w:widowControl/>
              <w:rPr>
                <w:kern w:val="0"/>
                <w:sz w:val="22"/>
                <w:szCs w:val="22"/>
              </w:rPr>
            </w:pPr>
            <w:r>
              <w:rPr>
                <w:kern w:val="0"/>
                <w:sz w:val="22"/>
                <w:szCs w:val="22"/>
              </w:rPr>
              <w:t>（1）分类及功能</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（2）脂肪酸的分类及功能</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（3）参考摄入量及食物来源</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4．碳水化合物</w:t>
            </w:r>
          </w:p>
        </w:tc>
        <w:tc>
          <w:tcPr>
            <w:tcW w:w="2265" w:type="pct"/>
            <w:vAlign w:val="center"/>
          </w:tcPr>
          <w:p>
            <w:pPr>
              <w:widowControl/>
              <w:rPr>
                <w:kern w:val="0"/>
                <w:sz w:val="22"/>
                <w:szCs w:val="22"/>
              </w:rPr>
            </w:pPr>
            <w:r>
              <w:rPr>
                <w:kern w:val="0"/>
                <w:sz w:val="22"/>
                <w:szCs w:val="22"/>
              </w:rPr>
              <w:t>（1）分类及功能</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（2）参考摄入量及食物来源</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（3）膳食纤维的生理功能</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5．能量</w:t>
            </w:r>
          </w:p>
        </w:tc>
        <w:tc>
          <w:tcPr>
            <w:tcW w:w="2265" w:type="pct"/>
            <w:vAlign w:val="center"/>
          </w:tcPr>
          <w:p>
            <w:pPr>
              <w:widowControl/>
              <w:rPr>
                <w:kern w:val="0"/>
                <w:sz w:val="22"/>
                <w:szCs w:val="22"/>
              </w:rPr>
            </w:pPr>
            <w:r>
              <w:rPr>
                <w:kern w:val="0"/>
                <w:sz w:val="22"/>
                <w:szCs w:val="22"/>
              </w:rPr>
              <w:t>（1）能量单位和能量系数</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（2）人体的能量消耗</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（3）能量的食物来源和能量平衡</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6．矿物质</w:t>
            </w:r>
          </w:p>
        </w:tc>
        <w:tc>
          <w:tcPr>
            <w:tcW w:w="2265" w:type="pct"/>
            <w:vAlign w:val="center"/>
          </w:tcPr>
          <w:p>
            <w:pPr>
              <w:widowControl/>
              <w:rPr>
                <w:kern w:val="0"/>
                <w:sz w:val="22"/>
                <w:szCs w:val="22"/>
              </w:rPr>
            </w:pPr>
            <w:r>
              <w:rPr>
                <w:kern w:val="0"/>
                <w:sz w:val="22"/>
                <w:szCs w:val="22"/>
              </w:rPr>
              <w:t>（1）概念及特点</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（2）钙、铁、碘、锌、硒的生理功能、缺乏症、参考摄入量及食物来源</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7．维生素</w:t>
            </w:r>
          </w:p>
        </w:tc>
        <w:tc>
          <w:tcPr>
            <w:tcW w:w="2265" w:type="pct"/>
            <w:vAlign w:val="center"/>
          </w:tcPr>
          <w:p>
            <w:pPr>
              <w:widowControl/>
              <w:rPr>
                <w:kern w:val="0"/>
                <w:sz w:val="22"/>
                <w:szCs w:val="22"/>
              </w:rPr>
            </w:pPr>
            <w:r>
              <w:rPr>
                <w:kern w:val="0"/>
                <w:sz w:val="22"/>
                <w:szCs w:val="22"/>
              </w:rPr>
              <w:t>（1）特点及分类</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（2）维生素A、维生素D、维生素E、维生素B</w:t>
            </w:r>
            <w:r>
              <w:rPr>
                <w:kern w:val="0"/>
                <w:sz w:val="22"/>
                <w:szCs w:val="22"/>
                <w:vertAlign w:val="subscript"/>
              </w:rPr>
              <w:t>1</w:t>
            </w:r>
            <w:r>
              <w:rPr>
                <w:kern w:val="0"/>
                <w:sz w:val="22"/>
                <w:szCs w:val="22"/>
              </w:rPr>
              <w:t>、维生素B</w:t>
            </w:r>
            <w:r>
              <w:rPr>
                <w:kern w:val="0"/>
                <w:sz w:val="22"/>
                <w:szCs w:val="22"/>
                <w:vertAlign w:val="subscript"/>
              </w:rPr>
              <w:t>2</w:t>
            </w:r>
            <w:r>
              <w:rPr>
                <w:kern w:val="0"/>
                <w:sz w:val="22"/>
                <w:szCs w:val="22"/>
              </w:rPr>
              <w:t>、维生素C、烟酸及叶酸的生理功能、缺乏与过量、参考摄入量及食物来源</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938" w:type="pct"/>
            <w:vMerge w:val="restart"/>
            <w:vAlign w:val="center"/>
          </w:tcPr>
          <w:p>
            <w:pPr>
              <w:widowControl/>
              <w:rPr>
                <w:kern w:val="0"/>
                <w:sz w:val="22"/>
                <w:szCs w:val="22"/>
              </w:rPr>
            </w:pPr>
            <w:r>
              <w:rPr>
                <w:kern w:val="0"/>
                <w:sz w:val="22"/>
                <w:szCs w:val="22"/>
              </w:rPr>
              <w:t>二、各类食品的营养价值</w:t>
            </w:r>
          </w:p>
        </w:tc>
        <w:tc>
          <w:tcPr>
            <w:tcW w:w="1254" w:type="pct"/>
            <w:vMerge w:val="restart"/>
            <w:vAlign w:val="center"/>
          </w:tcPr>
          <w:p>
            <w:pPr>
              <w:widowControl/>
              <w:rPr>
                <w:kern w:val="0"/>
                <w:sz w:val="22"/>
                <w:szCs w:val="22"/>
              </w:rPr>
            </w:pPr>
            <w:r>
              <w:rPr>
                <w:kern w:val="0"/>
                <w:sz w:val="22"/>
                <w:szCs w:val="22"/>
              </w:rPr>
              <w:t>1．植物性食品的营养价值</w:t>
            </w:r>
          </w:p>
        </w:tc>
        <w:tc>
          <w:tcPr>
            <w:tcW w:w="2265" w:type="pct"/>
            <w:vAlign w:val="center"/>
          </w:tcPr>
          <w:p>
            <w:pPr>
              <w:widowControl/>
              <w:rPr>
                <w:kern w:val="0"/>
                <w:sz w:val="22"/>
                <w:szCs w:val="22"/>
              </w:rPr>
            </w:pPr>
            <w:r>
              <w:rPr>
                <w:kern w:val="0"/>
                <w:sz w:val="22"/>
                <w:szCs w:val="22"/>
              </w:rPr>
              <w:t>（1）谷薯类食品</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（2）豆类及其制品</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（3）蔬菜、水果</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2．动物性食品的营养价值</w:t>
            </w:r>
          </w:p>
        </w:tc>
        <w:tc>
          <w:tcPr>
            <w:tcW w:w="2265" w:type="pct"/>
            <w:vAlign w:val="center"/>
          </w:tcPr>
          <w:p>
            <w:pPr>
              <w:widowControl/>
              <w:rPr>
                <w:kern w:val="0"/>
                <w:sz w:val="22"/>
                <w:szCs w:val="22"/>
              </w:rPr>
            </w:pPr>
            <w:r>
              <w:rPr>
                <w:kern w:val="0"/>
                <w:sz w:val="22"/>
                <w:szCs w:val="22"/>
              </w:rPr>
              <w:t>（1）畜、禽、鱼、蛋类</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（2）乳及乳制品</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3．加工和烹调对食物营养价值的影响</w:t>
            </w:r>
          </w:p>
        </w:tc>
        <w:tc>
          <w:tcPr>
            <w:tcW w:w="2265" w:type="pct"/>
            <w:vAlign w:val="center"/>
          </w:tcPr>
          <w:p>
            <w:pPr>
              <w:widowControl/>
              <w:rPr>
                <w:kern w:val="0"/>
                <w:sz w:val="22"/>
                <w:szCs w:val="22"/>
              </w:rPr>
            </w:pPr>
            <w:r>
              <w:rPr>
                <w:kern w:val="0"/>
                <w:sz w:val="22"/>
                <w:szCs w:val="22"/>
              </w:rPr>
              <w:t>（1）加工对食物营养价值的影响</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（2）烹调对食物营养价值的影响</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三、特殊人群的营养</w:t>
            </w:r>
          </w:p>
        </w:tc>
        <w:tc>
          <w:tcPr>
            <w:tcW w:w="1254" w:type="pct"/>
            <w:vMerge w:val="restart"/>
            <w:vAlign w:val="center"/>
          </w:tcPr>
          <w:p>
            <w:pPr>
              <w:widowControl/>
              <w:rPr>
                <w:kern w:val="0"/>
                <w:sz w:val="22"/>
                <w:szCs w:val="22"/>
              </w:rPr>
            </w:pPr>
            <w:r>
              <w:rPr>
                <w:kern w:val="0"/>
                <w:sz w:val="22"/>
                <w:szCs w:val="22"/>
              </w:rPr>
              <w:t>1．孕妇营养与膳食</w:t>
            </w:r>
          </w:p>
        </w:tc>
        <w:tc>
          <w:tcPr>
            <w:tcW w:w="2265" w:type="pct"/>
            <w:vAlign w:val="center"/>
          </w:tcPr>
          <w:p>
            <w:pPr>
              <w:widowControl/>
              <w:rPr>
                <w:kern w:val="0"/>
                <w:sz w:val="22"/>
                <w:szCs w:val="22"/>
              </w:rPr>
            </w:pPr>
            <w:r>
              <w:rPr>
                <w:kern w:val="0"/>
                <w:sz w:val="22"/>
                <w:szCs w:val="22"/>
              </w:rPr>
              <w:t>（1）孕妇的营养需要</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（2）孕期营养不良对母体和胎儿的影响</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（3）膳食原则</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2．乳母营养与膳食</w:t>
            </w:r>
          </w:p>
        </w:tc>
        <w:tc>
          <w:tcPr>
            <w:tcW w:w="2265" w:type="pct"/>
            <w:vAlign w:val="center"/>
          </w:tcPr>
          <w:p>
            <w:pPr>
              <w:widowControl/>
              <w:rPr>
                <w:kern w:val="0"/>
                <w:sz w:val="22"/>
                <w:szCs w:val="22"/>
              </w:rPr>
            </w:pPr>
            <w:r>
              <w:rPr>
                <w:kern w:val="0"/>
                <w:sz w:val="22"/>
                <w:szCs w:val="22"/>
              </w:rPr>
              <w:t>（1）乳母的营养需要</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（2）膳食原则</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3．婴幼儿营养与膳食</w:t>
            </w:r>
          </w:p>
        </w:tc>
        <w:tc>
          <w:tcPr>
            <w:tcW w:w="2265" w:type="pct"/>
            <w:vAlign w:val="center"/>
          </w:tcPr>
          <w:p>
            <w:pPr>
              <w:widowControl/>
              <w:rPr>
                <w:kern w:val="0"/>
                <w:sz w:val="22"/>
                <w:szCs w:val="22"/>
              </w:rPr>
            </w:pPr>
            <w:r>
              <w:rPr>
                <w:kern w:val="0"/>
                <w:sz w:val="22"/>
                <w:szCs w:val="22"/>
              </w:rPr>
              <w:t>（1）婴儿的营养需要、母乳喂养及辅食添加</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（2）幼儿的营养需要及喂养</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4．儿童营养与膳食</w:t>
            </w:r>
          </w:p>
        </w:tc>
        <w:tc>
          <w:tcPr>
            <w:tcW w:w="2265" w:type="pct"/>
            <w:vAlign w:val="center"/>
          </w:tcPr>
          <w:p>
            <w:pPr>
              <w:widowControl/>
              <w:rPr>
                <w:kern w:val="0"/>
                <w:sz w:val="22"/>
                <w:szCs w:val="22"/>
              </w:rPr>
            </w:pPr>
            <w:r>
              <w:rPr>
                <w:kern w:val="0"/>
                <w:sz w:val="22"/>
                <w:szCs w:val="22"/>
              </w:rPr>
              <w:t>（1）学龄前儿童的营养需要与膳食原则</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（2）学龄儿童的营养需要与膳食原则</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5．老年营养与膳食</w:t>
            </w:r>
          </w:p>
        </w:tc>
        <w:tc>
          <w:tcPr>
            <w:tcW w:w="2265" w:type="pct"/>
            <w:vAlign w:val="center"/>
          </w:tcPr>
          <w:p>
            <w:pPr>
              <w:widowControl/>
              <w:rPr>
                <w:kern w:val="0"/>
                <w:sz w:val="22"/>
                <w:szCs w:val="22"/>
              </w:rPr>
            </w:pPr>
            <w:r>
              <w:rPr>
                <w:kern w:val="0"/>
                <w:sz w:val="22"/>
                <w:szCs w:val="22"/>
              </w:rPr>
              <w:t>（1）生理特点及营养需要</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（2）膳食原则</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38" w:type="pct"/>
            <w:vMerge w:val="restart"/>
            <w:vAlign w:val="center"/>
          </w:tcPr>
          <w:p>
            <w:pPr>
              <w:rPr>
                <w:kern w:val="0"/>
                <w:sz w:val="22"/>
                <w:szCs w:val="22"/>
              </w:rPr>
            </w:pPr>
            <w:r>
              <w:rPr>
                <w:kern w:val="0"/>
                <w:sz w:val="22"/>
                <w:szCs w:val="22"/>
              </w:rPr>
              <w:t>四、营养与营养相关疾病</w:t>
            </w:r>
          </w:p>
        </w:tc>
        <w:tc>
          <w:tcPr>
            <w:tcW w:w="1254" w:type="pct"/>
            <w:vMerge w:val="restart"/>
            <w:vAlign w:val="center"/>
          </w:tcPr>
          <w:p>
            <w:pPr>
              <w:rPr>
                <w:kern w:val="0"/>
                <w:sz w:val="22"/>
                <w:szCs w:val="22"/>
              </w:rPr>
            </w:pPr>
            <w:r>
              <w:rPr>
                <w:kern w:val="0"/>
                <w:sz w:val="22"/>
                <w:szCs w:val="22"/>
              </w:rPr>
              <w:t>1．肥胖</w:t>
            </w:r>
          </w:p>
        </w:tc>
        <w:tc>
          <w:tcPr>
            <w:tcW w:w="2265" w:type="pct"/>
            <w:vAlign w:val="center"/>
          </w:tcPr>
          <w:p>
            <w:pPr>
              <w:widowControl/>
              <w:rPr>
                <w:kern w:val="0"/>
                <w:sz w:val="22"/>
                <w:szCs w:val="22"/>
              </w:rPr>
            </w:pPr>
            <w:r>
              <w:rPr>
                <w:kern w:val="0"/>
                <w:sz w:val="22"/>
                <w:szCs w:val="22"/>
              </w:rPr>
              <w:t>（1）诊断方法</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（2）与营养的关系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（3）营养防治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2．动脉粥样硬化、高血压</w:t>
            </w:r>
          </w:p>
        </w:tc>
        <w:tc>
          <w:tcPr>
            <w:tcW w:w="2265" w:type="pct"/>
            <w:vAlign w:val="center"/>
          </w:tcPr>
          <w:p>
            <w:pPr>
              <w:widowControl/>
              <w:rPr>
                <w:kern w:val="0"/>
                <w:sz w:val="22"/>
                <w:szCs w:val="22"/>
              </w:rPr>
            </w:pPr>
            <w:r>
              <w:rPr>
                <w:kern w:val="0"/>
                <w:sz w:val="22"/>
                <w:szCs w:val="22"/>
              </w:rPr>
              <w:t>（1）动脉粥样硬化的营养防治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（2）高血压的营养防治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3．糖尿病</w:t>
            </w:r>
          </w:p>
        </w:tc>
        <w:tc>
          <w:tcPr>
            <w:tcW w:w="2265" w:type="pct"/>
            <w:vAlign w:val="center"/>
          </w:tcPr>
          <w:p>
            <w:pPr>
              <w:widowControl/>
              <w:rPr>
                <w:kern w:val="0"/>
                <w:sz w:val="22"/>
                <w:szCs w:val="22"/>
              </w:rPr>
            </w:pPr>
            <w:r>
              <w:rPr>
                <w:kern w:val="0"/>
                <w:sz w:val="22"/>
                <w:szCs w:val="22"/>
              </w:rPr>
              <w:t>（1）与营养的关系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（2）营养防治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4．其他疾病</w:t>
            </w:r>
          </w:p>
        </w:tc>
        <w:tc>
          <w:tcPr>
            <w:tcW w:w="2265" w:type="pct"/>
            <w:vAlign w:val="center"/>
          </w:tcPr>
          <w:p>
            <w:pPr>
              <w:widowControl/>
              <w:rPr>
                <w:kern w:val="0"/>
                <w:sz w:val="22"/>
                <w:szCs w:val="22"/>
              </w:rPr>
            </w:pPr>
            <w:r>
              <w:rPr>
                <w:kern w:val="0"/>
                <w:sz w:val="22"/>
                <w:szCs w:val="22"/>
              </w:rPr>
              <w:t>（1）痛风的营养防治</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（2）癌症的营养防治</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（3）骨质疏松的营养防治</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sz w:val="22"/>
                <w:szCs w:val="22"/>
              </w:rPr>
            </w:pPr>
            <w:r>
              <w:rPr>
                <w:kern w:val="0"/>
                <w:sz w:val="22"/>
                <w:szCs w:val="22"/>
              </w:rPr>
              <w:t>五、公共营养</w:t>
            </w:r>
          </w:p>
        </w:tc>
        <w:tc>
          <w:tcPr>
            <w:tcW w:w="1254" w:type="pct"/>
            <w:vAlign w:val="center"/>
          </w:tcPr>
          <w:p>
            <w:pPr>
              <w:widowControl/>
              <w:rPr>
                <w:kern w:val="0"/>
                <w:sz w:val="22"/>
                <w:szCs w:val="22"/>
              </w:rPr>
            </w:pPr>
            <w:r>
              <w:rPr>
                <w:kern w:val="0"/>
                <w:sz w:val="22"/>
                <w:szCs w:val="22"/>
              </w:rPr>
              <w:t>1．膳食营养素参考摄入量（DRIs）</w:t>
            </w:r>
          </w:p>
        </w:tc>
        <w:tc>
          <w:tcPr>
            <w:tcW w:w="2265" w:type="pct"/>
            <w:vAlign w:val="center"/>
          </w:tcPr>
          <w:p>
            <w:pPr>
              <w:widowControl/>
              <w:ind w:firstLine="110" w:firstLineChars="50"/>
              <w:rPr>
                <w:kern w:val="0"/>
                <w:sz w:val="22"/>
                <w:szCs w:val="22"/>
              </w:rPr>
            </w:pPr>
            <w:r>
              <w:rPr>
                <w:kern w:val="0"/>
                <w:sz w:val="22"/>
                <w:szCs w:val="22"/>
              </w:rPr>
              <w:t>概念及内容</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2．合理膳食</w:t>
            </w:r>
          </w:p>
        </w:tc>
        <w:tc>
          <w:tcPr>
            <w:tcW w:w="2265" w:type="pct"/>
            <w:vAlign w:val="center"/>
          </w:tcPr>
          <w:p>
            <w:pPr>
              <w:widowControl/>
              <w:rPr>
                <w:kern w:val="0"/>
                <w:sz w:val="22"/>
                <w:szCs w:val="22"/>
              </w:rPr>
            </w:pPr>
            <w:r>
              <w:rPr>
                <w:kern w:val="0"/>
                <w:sz w:val="22"/>
                <w:szCs w:val="22"/>
              </w:rPr>
              <w:t>（1）概念及要求</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（2）中国居民膳食指南与平衡膳食宝塔</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3．营养调查与营养监测</w:t>
            </w:r>
          </w:p>
        </w:tc>
        <w:tc>
          <w:tcPr>
            <w:tcW w:w="2265" w:type="pct"/>
            <w:vAlign w:val="center"/>
          </w:tcPr>
          <w:p>
            <w:pPr>
              <w:widowControl/>
              <w:rPr>
                <w:kern w:val="0"/>
                <w:sz w:val="22"/>
                <w:szCs w:val="22"/>
              </w:rPr>
            </w:pPr>
            <w:r>
              <w:rPr>
                <w:kern w:val="0"/>
                <w:sz w:val="22"/>
                <w:szCs w:val="22"/>
              </w:rPr>
              <w:t>（1）概念</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（2）营养调查的内容和结果的分析评价</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（3）营养监测的常用指标</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六、食品污染及其预防</w:t>
            </w:r>
          </w:p>
        </w:tc>
        <w:tc>
          <w:tcPr>
            <w:tcW w:w="1254" w:type="pct"/>
            <w:vMerge w:val="restart"/>
            <w:vAlign w:val="center"/>
          </w:tcPr>
          <w:p>
            <w:pPr>
              <w:widowControl/>
              <w:rPr>
                <w:kern w:val="0"/>
                <w:sz w:val="22"/>
                <w:szCs w:val="22"/>
              </w:rPr>
            </w:pPr>
            <w:r>
              <w:rPr>
                <w:kern w:val="0"/>
                <w:sz w:val="22"/>
                <w:szCs w:val="22"/>
              </w:rPr>
              <w:t>1．食品污染概述</w:t>
            </w:r>
          </w:p>
        </w:tc>
        <w:tc>
          <w:tcPr>
            <w:tcW w:w="2265" w:type="pct"/>
            <w:vAlign w:val="center"/>
          </w:tcPr>
          <w:p>
            <w:pPr>
              <w:widowControl/>
              <w:rPr>
                <w:kern w:val="0"/>
                <w:sz w:val="22"/>
                <w:szCs w:val="22"/>
              </w:rPr>
            </w:pPr>
            <w:r>
              <w:rPr>
                <w:kern w:val="0"/>
                <w:sz w:val="22"/>
                <w:szCs w:val="22"/>
              </w:rPr>
              <w:t>（1）食品污染的分类</w:t>
            </w:r>
          </w:p>
        </w:tc>
        <w:tc>
          <w:tcPr>
            <w:tcW w:w="543" w:type="pct"/>
          </w:tcPr>
          <w:p>
            <w:pPr>
              <w:widowControl/>
              <w:jc w:val="center"/>
              <w:rPr>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（2）食品污染对人体健康的影响</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2．食品的微生物污染及预防</w:t>
            </w:r>
          </w:p>
        </w:tc>
        <w:tc>
          <w:tcPr>
            <w:tcW w:w="2265" w:type="pct"/>
            <w:vAlign w:val="center"/>
          </w:tcPr>
          <w:p>
            <w:pPr>
              <w:widowControl/>
              <w:rPr>
                <w:kern w:val="0"/>
                <w:sz w:val="22"/>
                <w:szCs w:val="22"/>
              </w:rPr>
            </w:pPr>
            <w:r>
              <w:rPr>
                <w:kern w:val="0"/>
                <w:sz w:val="22"/>
                <w:szCs w:val="22"/>
              </w:rPr>
              <w:t>（1）菌落总数和大肠菌群的概念及食品卫生学意义</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（2）真菌产毒特点、条件及食品卫生学意义</w:t>
            </w:r>
          </w:p>
        </w:tc>
        <w:tc>
          <w:tcPr>
            <w:tcW w:w="543" w:type="pct"/>
          </w:tcPr>
          <w:p>
            <w:pPr>
              <w:widowControl/>
              <w:jc w:val="center"/>
              <w:rPr>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（3）黄曲霉毒素的毒性、产毒条件、对食品的污染及其预防措施</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（4）食品腐败变质的概念、卫生学意义及处理原则</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（5）防止食品腐败变质的措施</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3．食品的化学性污染及预防</w:t>
            </w:r>
          </w:p>
        </w:tc>
        <w:tc>
          <w:tcPr>
            <w:tcW w:w="2265" w:type="pct"/>
            <w:vAlign w:val="center"/>
          </w:tcPr>
          <w:p>
            <w:pPr>
              <w:widowControl/>
              <w:rPr>
                <w:kern w:val="0"/>
                <w:sz w:val="22"/>
                <w:szCs w:val="22"/>
              </w:rPr>
            </w:pPr>
            <w:r>
              <w:rPr>
                <w:kern w:val="0"/>
                <w:sz w:val="22"/>
                <w:szCs w:val="22"/>
              </w:rPr>
              <w:t>（1）N-亚硝基化合物的食物来源、毒性和预防</w:t>
            </w:r>
          </w:p>
        </w:tc>
        <w:tc>
          <w:tcPr>
            <w:tcW w:w="543" w:type="pct"/>
          </w:tcPr>
          <w:p>
            <w:pPr>
              <w:widowControl/>
              <w:jc w:val="center"/>
              <w:rPr>
                <w:kern w:val="0"/>
                <w:sz w:val="22"/>
                <w:szCs w:val="22"/>
              </w:rPr>
            </w:pPr>
            <w:r>
              <w:rPr>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（2）食品中农药残留的来源、毒性和预防</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4．食品添加剂</w:t>
            </w:r>
          </w:p>
        </w:tc>
        <w:tc>
          <w:tcPr>
            <w:tcW w:w="2265" w:type="pct"/>
            <w:vAlign w:val="center"/>
          </w:tcPr>
          <w:p>
            <w:pPr>
              <w:widowControl/>
              <w:rPr>
                <w:kern w:val="0"/>
                <w:sz w:val="22"/>
                <w:szCs w:val="22"/>
              </w:rPr>
            </w:pPr>
            <w:r>
              <w:rPr>
                <w:kern w:val="0"/>
                <w:sz w:val="22"/>
                <w:szCs w:val="22"/>
              </w:rPr>
              <w:t>（1）概念、使用要求及卫生管理</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（2）我国常用的食品防腐剂、抗氧化剂、护色剂、甜味剂、着色剂</w:t>
            </w:r>
          </w:p>
        </w:tc>
        <w:tc>
          <w:tcPr>
            <w:tcW w:w="543" w:type="pct"/>
          </w:tcPr>
          <w:p>
            <w:pPr>
              <w:widowControl/>
              <w:jc w:val="center"/>
              <w:rPr>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七、各类食品的卫生</w:t>
            </w:r>
          </w:p>
        </w:tc>
        <w:tc>
          <w:tcPr>
            <w:tcW w:w="1254" w:type="pct"/>
            <w:vMerge w:val="restart"/>
            <w:vAlign w:val="center"/>
          </w:tcPr>
          <w:p>
            <w:pPr>
              <w:widowControl/>
              <w:rPr>
                <w:kern w:val="0"/>
                <w:sz w:val="22"/>
                <w:szCs w:val="22"/>
              </w:rPr>
            </w:pPr>
            <w:r>
              <w:rPr>
                <w:kern w:val="0"/>
                <w:sz w:val="22"/>
                <w:szCs w:val="22"/>
              </w:rPr>
              <w:t>1．植物性食品的卫生</w:t>
            </w:r>
          </w:p>
        </w:tc>
        <w:tc>
          <w:tcPr>
            <w:tcW w:w="2265" w:type="pct"/>
            <w:vAlign w:val="center"/>
          </w:tcPr>
          <w:p>
            <w:pPr>
              <w:widowControl/>
              <w:rPr>
                <w:kern w:val="0"/>
                <w:sz w:val="22"/>
                <w:szCs w:val="22"/>
              </w:rPr>
            </w:pPr>
            <w:r>
              <w:rPr>
                <w:kern w:val="0"/>
                <w:sz w:val="22"/>
                <w:szCs w:val="22"/>
              </w:rPr>
              <w:t>（1）粮谷的主要卫生问题</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（2）蔬菜的主要卫生问题</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2．动物性食品的卫生</w:t>
            </w:r>
          </w:p>
        </w:tc>
        <w:tc>
          <w:tcPr>
            <w:tcW w:w="2265" w:type="pct"/>
            <w:vAlign w:val="center"/>
          </w:tcPr>
          <w:p>
            <w:pPr>
              <w:widowControl/>
              <w:rPr>
                <w:kern w:val="0"/>
                <w:sz w:val="22"/>
                <w:szCs w:val="22"/>
              </w:rPr>
            </w:pPr>
            <w:r>
              <w:rPr>
                <w:kern w:val="0"/>
                <w:sz w:val="22"/>
                <w:szCs w:val="22"/>
              </w:rPr>
              <w:t>（1）肉类的腐败变质</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（2）常见病畜肉的鉴定和处理原则</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（3）鱼类的主要卫生问题</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（4）乳及乳制品的主要卫生问题及消毒与灭菌</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3．加工食品的卫生</w:t>
            </w:r>
          </w:p>
        </w:tc>
        <w:tc>
          <w:tcPr>
            <w:tcW w:w="2265" w:type="pct"/>
            <w:vAlign w:val="center"/>
          </w:tcPr>
          <w:p>
            <w:pPr>
              <w:widowControl/>
              <w:rPr>
                <w:kern w:val="0"/>
                <w:sz w:val="22"/>
                <w:szCs w:val="22"/>
              </w:rPr>
            </w:pPr>
            <w:r>
              <w:rPr>
                <w:kern w:val="0"/>
                <w:sz w:val="22"/>
                <w:szCs w:val="22"/>
              </w:rPr>
              <w:t>（1）油脂酸败的原因、鉴定及预防措施</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（2）饮料酒的主要卫生问题</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（3）罐头的主要卫生问题</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938" w:type="pct"/>
            <w:vMerge w:val="restart"/>
            <w:vAlign w:val="center"/>
          </w:tcPr>
          <w:p>
            <w:pPr>
              <w:widowControl/>
              <w:rPr>
                <w:kern w:val="0"/>
                <w:sz w:val="22"/>
                <w:szCs w:val="22"/>
              </w:rPr>
            </w:pPr>
            <w:r>
              <w:rPr>
                <w:kern w:val="0"/>
                <w:sz w:val="22"/>
                <w:szCs w:val="22"/>
              </w:rPr>
              <w:t>八、食源性疾病及其预防</w:t>
            </w:r>
          </w:p>
        </w:tc>
        <w:tc>
          <w:tcPr>
            <w:tcW w:w="1254" w:type="pct"/>
            <w:vMerge w:val="restart"/>
            <w:vAlign w:val="center"/>
          </w:tcPr>
          <w:p>
            <w:pPr>
              <w:widowControl/>
              <w:rPr>
                <w:kern w:val="0"/>
                <w:sz w:val="22"/>
                <w:szCs w:val="22"/>
              </w:rPr>
            </w:pPr>
            <w:r>
              <w:rPr>
                <w:kern w:val="0"/>
                <w:sz w:val="22"/>
                <w:szCs w:val="22"/>
              </w:rPr>
              <w:t>1．概述</w:t>
            </w:r>
          </w:p>
        </w:tc>
        <w:tc>
          <w:tcPr>
            <w:tcW w:w="2265" w:type="pct"/>
            <w:vAlign w:val="center"/>
          </w:tcPr>
          <w:p>
            <w:pPr>
              <w:widowControl/>
              <w:rPr>
                <w:kern w:val="0"/>
                <w:sz w:val="22"/>
                <w:szCs w:val="22"/>
              </w:rPr>
            </w:pPr>
            <w:r>
              <w:rPr>
                <w:kern w:val="0"/>
                <w:sz w:val="22"/>
                <w:szCs w:val="22"/>
              </w:rPr>
              <w:t>（1）食源性疾病和食物中毒的概念</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（2）食物中毒的特点</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2．细菌性食物中毒</w:t>
            </w:r>
          </w:p>
        </w:tc>
        <w:tc>
          <w:tcPr>
            <w:tcW w:w="2265" w:type="pct"/>
            <w:vAlign w:val="center"/>
          </w:tcPr>
          <w:p>
            <w:pPr>
              <w:widowControl/>
              <w:rPr>
                <w:kern w:val="0"/>
                <w:sz w:val="22"/>
                <w:szCs w:val="22"/>
              </w:rPr>
            </w:pPr>
            <w:r>
              <w:rPr>
                <w:kern w:val="0"/>
                <w:sz w:val="22"/>
                <w:szCs w:val="22"/>
              </w:rPr>
              <w:t>（1）细菌性食物中毒的流行病学特点</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（2）沙门氏菌、变形杆菌、金黄色葡萄球菌、副溶血性弧菌、肉毒梭菌食物中毒的流行病学特点、中毒症状及预防措施</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3．有毒动植物中毒</w:t>
            </w:r>
          </w:p>
        </w:tc>
        <w:tc>
          <w:tcPr>
            <w:tcW w:w="2265" w:type="pct"/>
            <w:vAlign w:val="center"/>
          </w:tcPr>
          <w:p>
            <w:pPr>
              <w:widowControl/>
              <w:rPr>
                <w:kern w:val="0"/>
                <w:sz w:val="22"/>
                <w:szCs w:val="22"/>
              </w:rPr>
            </w:pPr>
            <w:r>
              <w:rPr>
                <w:kern w:val="0"/>
                <w:sz w:val="22"/>
                <w:szCs w:val="22"/>
              </w:rPr>
              <w:t>（1）河豚中毒</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（2）鱼类引起的组胺中毒</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（3）含氰苷类植物中毒</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（4）其他有毒植物中毒</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4．化学性食物中毒</w:t>
            </w:r>
          </w:p>
        </w:tc>
        <w:tc>
          <w:tcPr>
            <w:tcW w:w="2265" w:type="pct"/>
            <w:vAlign w:val="center"/>
          </w:tcPr>
          <w:p>
            <w:pPr>
              <w:widowControl/>
              <w:rPr>
                <w:kern w:val="0"/>
                <w:sz w:val="22"/>
                <w:szCs w:val="22"/>
              </w:rPr>
            </w:pPr>
            <w:r>
              <w:rPr>
                <w:kern w:val="0"/>
                <w:sz w:val="22"/>
                <w:szCs w:val="22"/>
              </w:rPr>
              <w:t>（1）亚硝酸盐中毒</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（2）有机磷农药中毒</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5．食品安全事故调查处置</w:t>
            </w:r>
          </w:p>
        </w:tc>
        <w:tc>
          <w:tcPr>
            <w:tcW w:w="2265" w:type="pct"/>
            <w:vAlign w:val="center"/>
          </w:tcPr>
          <w:p>
            <w:pPr>
              <w:widowControl/>
              <w:rPr>
                <w:kern w:val="0"/>
                <w:sz w:val="22"/>
                <w:szCs w:val="22"/>
              </w:rPr>
            </w:pPr>
            <w:r>
              <w:rPr>
                <w:kern w:val="0"/>
                <w:sz w:val="22"/>
                <w:szCs w:val="22"/>
              </w:rPr>
              <w:t>（1）食物中毒的诊断及技术处理</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（2）食物中毒的调查处理程序</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九、食品安全监督管理</w:t>
            </w:r>
          </w:p>
        </w:tc>
        <w:tc>
          <w:tcPr>
            <w:tcW w:w="1254" w:type="pct"/>
            <w:vAlign w:val="center"/>
          </w:tcPr>
          <w:p>
            <w:pPr>
              <w:widowControl/>
              <w:rPr>
                <w:kern w:val="0"/>
                <w:sz w:val="22"/>
                <w:szCs w:val="22"/>
              </w:rPr>
            </w:pPr>
            <w:r>
              <w:rPr>
                <w:kern w:val="0"/>
                <w:sz w:val="22"/>
                <w:szCs w:val="22"/>
              </w:rPr>
              <w:t>1．概述</w:t>
            </w:r>
          </w:p>
        </w:tc>
        <w:tc>
          <w:tcPr>
            <w:tcW w:w="2265" w:type="pct"/>
            <w:vAlign w:val="center"/>
          </w:tcPr>
          <w:p>
            <w:pPr>
              <w:widowControl/>
              <w:rPr>
                <w:kern w:val="0"/>
                <w:sz w:val="22"/>
                <w:szCs w:val="22"/>
              </w:rPr>
            </w:pPr>
            <w:r>
              <w:rPr>
                <w:kern w:val="0"/>
                <w:sz w:val="22"/>
                <w:szCs w:val="22"/>
              </w:rPr>
              <w:t>食品安全监督管理的基本概念、原则和内容</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2．食品安全标准</w:t>
            </w:r>
          </w:p>
        </w:tc>
        <w:tc>
          <w:tcPr>
            <w:tcW w:w="2265" w:type="pct"/>
            <w:vAlign w:val="center"/>
          </w:tcPr>
          <w:p>
            <w:pPr>
              <w:widowControl/>
              <w:rPr>
                <w:kern w:val="0"/>
                <w:sz w:val="22"/>
                <w:szCs w:val="22"/>
              </w:rPr>
            </w:pPr>
            <w:r>
              <w:rPr>
                <w:kern w:val="0"/>
                <w:sz w:val="22"/>
                <w:szCs w:val="22"/>
              </w:rPr>
              <w:t>（1）概念、性质</w:t>
            </w:r>
          </w:p>
        </w:tc>
        <w:tc>
          <w:tcPr>
            <w:tcW w:w="543" w:type="pct"/>
          </w:tcPr>
          <w:p>
            <w:pPr>
              <w:widowControl/>
              <w:jc w:val="center"/>
              <w:rPr>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（2）主要技术指标</w:t>
            </w:r>
          </w:p>
        </w:tc>
        <w:tc>
          <w:tcPr>
            <w:tcW w:w="543" w:type="pct"/>
          </w:tcPr>
          <w:p>
            <w:pPr>
              <w:widowControl/>
              <w:jc w:val="center"/>
              <w:rPr>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（3）食品中有毒有害物质的制定</w:t>
            </w:r>
          </w:p>
        </w:tc>
        <w:tc>
          <w:tcPr>
            <w:tcW w:w="543" w:type="pct"/>
          </w:tcPr>
          <w:p>
            <w:pPr>
              <w:widowControl/>
              <w:jc w:val="center"/>
              <w:rPr>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938" w:type="pct"/>
            <w:vMerge w:val="continue"/>
            <w:vAlign w:val="center"/>
          </w:tcPr>
          <w:p>
            <w:pPr>
              <w:widowControl/>
              <w:rPr>
                <w:kern w:val="0"/>
                <w:sz w:val="22"/>
                <w:szCs w:val="22"/>
              </w:rPr>
            </w:pPr>
          </w:p>
        </w:tc>
        <w:tc>
          <w:tcPr>
            <w:tcW w:w="1254" w:type="pct"/>
            <w:vMerge w:val="restart"/>
            <w:vAlign w:val="center"/>
          </w:tcPr>
          <w:p>
            <w:pPr>
              <w:widowControl/>
              <w:snapToGrid w:val="0"/>
              <w:rPr>
                <w:kern w:val="0"/>
                <w:sz w:val="22"/>
                <w:szCs w:val="22"/>
              </w:rPr>
            </w:pPr>
            <w:r>
              <w:rPr>
                <w:kern w:val="0"/>
                <w:sz w:val="22"/>
                <w:szCs w:val="22"/>
              </w:rPr>
              <w:t>3．食品标签与标识</w:t>
            </w:r>
          </w:p>
        </w:tc>
        <w:tc>
          <w:tcPr>
            <w:tcW w:w="2265" w:type="pct"/>
            <w:vAlign w:val="center"/>
          </w:tcPr>
          <w:p>
            <w:pPr>
              <w:widowControl/>
              <w:rPr>
                <w:kern w:val="0"/>
                <w:sz w:val="22"/>
                <w:szCs w:val="22"/>
              </w:rPr>
            </w:pPr>
            <w:r>
              <w:rPr>
                <w:kern w:val="0"/>
                <w:sz w:val="22"/>
                <w:szCs w:val="22"/>
              </w:rPr>
              <w:t>（1）食品标签：预包装食品标签、食品营养标签</w:t>
            </w:r>
          </w:p>
        </w:tc>
        <w:tc>
          <w:tcPr>
            <w:tcW w:w="543" w:type="pct"/>
          </w:tcPr>
          <w:p>
            <w:pPr>
              <w:widowControl/>
              <w:jc w:val="center"/>
              <w:rPr>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938" w:type="pct"/>
            <w:vMerge w:val="continue"/>
            <w:tcBorders>
              <w:bottom w:val="single" w:color="auto" w:sz="4" w:space="0"/>
            </w:tcBorders>
            <w:vAlign w:val="center"/>
          </w:tcPr>
          <w:p>
            <w:pPr>
              <w:widowControl/>
              <w:rPr>
                <w:kern w:val="0"/>
                <w:sz w:val="22"/>
                <w:szCs w:val="22"/>
              </w:rPr>
            </w:pPr>
          </w:p>
        </w:tc>
        <w:tc>
          <w:tcPr>
            <w:tcW w:w="1254" w:type="pct"/>
            <w:vMerge w:val="continue"/>
            <w:tcBorders>
              <w:bottom w:val="single" w:color="auto" w:sz="4" w:space="0"/>
            </w:tcBorders>
            <w:vAlign w:val="center"/>
          </w:tcPr>
          <w:p>
            <w:pPr>
              <w:widowControl/>
              <w:rPr>
                <w:kern w:val="0"/>
                <w:sz w:val="22"/>
                <w:szCs w:val="22"/>
              </w:rPr>
            </w:pPr>
          </w:p>
        </w:tc>
        <w:tc>
          <w:tcPr>
            <w:tcW w:w="2265" w:type="pct"/>
            <w:tcBorders>
              <w:bottom w:val="single" w:color="auto" w:sz="4" w:space="0"/>
            </w:tcBorders>
            <w:vAlign w:val="center"/>
          </w:tcPr>
          <w:p>
            <w:pPr>
              <w:widowControl/>
              <w:rPr>
                <w:kern w:val="0"/>
                <w:sz w:val="22"/>
                <w:szCs w:val="22"/>
              </w:rPr>
            </w:pPr>
            <w:r>
              <w:rPr>
                <w:kern w:val="0"/>
                <w:sz w:val="22"/>
                <w:szCs w:val="22"/>
              </w:rPr>
              <w:t>（2）食品标识：无公害食品、绿色食品、有机食品、保健食品</w:t>
            </w:r>
          </w:p>
        </w:tc>
        <w:tc>
          <w:tcPr>
            <w:tcW w:w="543" w:type="pct"/>
            <w:tcBorders>
              <w:bottom w:val="single" w:color="auto" w:sz="4" w:space="0"/>
            </w:tcBorders>
          </w:tcPr>
          <w:p>
            <w:pPr>
              <w:widowControl/>
              <w:jc w:val="center"/>
              <w:rPr>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5000" w:type="pct"/>
            <w:gridSpan w:val="4"/>
            <w:tcBorders>
              <w:left w:val="nil"/>
              <w:right w:val="nil"/>
            </w:tcBorders>
            <w:vAlign w:val="center"/>
          </w:tcPr>
          <w:p>
            <w:pPr>
              <w:pStyle w:val="77"/>
              <w:spacing w:before="93" w:beforeLines="30" w:after="93" w:afterLines="30"/>
            </w:pPr>
            <w:bookmarkStart w:id="42" w:name="_Toc142388626"/>
            <w:bookmarkStart w:id="43" w:name="_Toc144217069"/>
            <w:r>
              <w:rPr>
                <w:rFonts w:hint="eastAsia"/>
              </w:rPr>
              <w:t>六、</w:t>
            </w:r>
            <w:r>
              <w:t>妇女保健学</w:t>
            </w:r>
            <w:bookmarkEnd w:id="42"/>
            <w:bookmarkEnd w:id="4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nil"/>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一、妇女保健概论</w:t>
            </w:r>
          </w:p>
        </w:tc>
        <w:tc>
          <w:tcPr>
            <w:tcW w:w="1254" w:type="pct"/>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eastAsia="等线"/>
                <w:kern w:val="0"/>
                <w:szCs w:val="21"/>
              </w:rPr>
            </w:pPr>
            <w:r>
              <w:rPr>
                <w:rFonts w:hint="eastAsia"/>
                <w:kern w:val="0"/>
                <w:sz w:val="22"/>
                <w:szCs w:val="22"/>
              </w:rPr>
              <w:t>概述</w:t>
            </w:r>
          </w:p>
        </w:tc>
        <w:tc>
          <w:tcPr>
            <w:tcW w:w="2265" w:type="pct"/>
            <w:tcBorders>
              <w:top w:val="nil"/>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（1）妇女保健工作的重要性及工作特点</w:t>
            </w:r>
          </w:p>
        </w:tc>
        <w:tc>
          <w:tcPr>
            <w:tcW w:w="543" w:type="pct"/>
            <w:tcBorders>
              <w:top w:val="nil"/>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nil"/>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nil"/>
              <w:left w:val="single" w:color="auto" w:sz="4" w:space="0"/>
              <w:bottom w:val="single" w:color="auto" w:sz="4" w:space="0"/>
              <w:right w:val="single" w:color="auto" w:sz="4" w:space="0"/>
            </w:tcBorders>
            <w:vAlign w:val="center"/>
          </w:tcPr>
          <w:p>
            <w:pPr>
              <w:widowControl/>
              <w:jc w:val="left"/>
              <w:rPr>
                <w:rFonts w:eastAsia="等线"/>
                <w:kern w:val="0"/>
                <w:szCs w:val="21"/>
              </w:rPr>
            </w:pPr>
          </w:p>
        </w:tc>
        <w:tc>
          <w:tcPr>
            <w:tcW w:w="2265" w:type="pct"/>
            <w:tcBorders>
              <w:top w:val="nil"/>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（2）生殖健康</w:t>
            </w:r>
          </w:p>
        </w:tc>
        <w:tc>
          <w:tcPr>
            <w:tcW w:w="543" w:type="pct"/>
            <w:tcBorders>
              <w:top w:val="nil"/>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二、青春期保健</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1</w:t>
            </w:r>
            <w:r>
              <w:rPr>
                <w:kern w:val="0"/>
                <w:sz w:val="22"/>
                <w:szCs w:val="22"/>
              </w:rPr>
              <w:t>．青春期生殖生理、心理特点</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（2）生殖生理特点</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（3）心理特点</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2</w:t>
            </w:r>
            <w:r>
              <w:rPr>
                <w:kern w:val="0"/>
                <w:sz w:val="22"/>
                <w:szCs w:val="22"/>
              </w:rPr>
              <w:t>．青春期常见问题与保健要点</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（1）常见生理问题与保健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（2）常见心理卫生问题与保健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（3）青春期特殊问题</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三、婚前保健</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1</w:t>
            </w:r>
            <w:r>
              <w:rPr>
                <w:kern w:val="0"/>
                <w:sz w:val="22"/>
                <w:szCs w:val="22"/>
              </w:rPr>
              <w:t>．婚前保健概述</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（1）定义</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（2）服务内容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2</w:t>
            </w:r>
            <w:r>
              <w:rPr>
                <w:kern w:val="0"/>
                <w:sz w:val="22"/>
                <w:szCs w:val="22"/>
              </w:rPr>
              <w:t>．婚前医学检查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（1）检查项目</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（2）主要疾病</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3</w:t>
            </w:r>
            <w:r>
              <w:rPr>
                <w:kern w:val="0"/>
                <w:sz w:val="22"/>
                <w:szCs w:val="22"/>
              </w:rPr>
              <w:t>．婚前卫生咨询与指导</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（1）原则</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（2）内容</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四、孕产期保健</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1</w:t>
            </w:r>
            <w:r>
              <w:rPr>
                <w:kern w:val="0"/>
                <w:sz w:val="22"/>
                <w:szCs w:val="22"/>
              </w:rPr>
              <w:t>．孕前保健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（1）健康教育与咨询</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（2）孕前医学检查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（3）孕前保健指导</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2</w:t>
            </w:r>
            <w:r>
              <w:rPr>
                <w:kern w:val="0"/>
                <w:sz w:val="22"/>
                <w:szCs w:val="22"/>
              </w:rPr>
              <w:t>．孕期保健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（1）孕早期保健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（2）孕中期保健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（3）孕晚期保健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3</w:t>
            </w:r>
            <w:r>
              <w:rPr>
                <w:kern w:val="0"/>
                <w:sz w:val="22"/>
                <w:szCs w:val="22"/>
              </w:rPr>
              <w:t>．分娩期保健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（1）检查与评估</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（2）各产程监护与保健要点</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4</w:t>
            </w:r>
            <w:r>
              <w:rPr>
                <w:kern w:val="0"/>
                <w:sz w:val="22"/>
                <w:szCs w:val="22"/>
              </w:rPr>
              <w:t>．产褥期保健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（1）住院期间保健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（2）产后访视</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（3）产后42天健康检查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tcBorders>
              <w:top w:val="single" w:color="auto" w:sz="4" w:space="0"/>
              <w:left w:val="nil"/>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5</w:t>
            </w:r>
            <w:r>
              <w:rPr>
                <w:kern w:val="0"/>
                <w:sz w:val="22"/>
                <w:szCs w:val="22"/>
              </w:rPr>
              <w:t>．新生儿保健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见</w:t>
            </w:r>
            <w:r>
              <w:rPr>
                <w:rFonts w:hint="eastAsia" w:asciiTheme="minorEastAsia" w:hAnsiTheme="minorEastAsia" w:eastAsiaTheme="minorEastAsia" w:cstheme="minorEastAsia"/>
                <w:kern w:val="0"/>
                <w:sz w:val="22"/>
                <w:szCs w:val="22"/>
              </w:rPr>
              <w:t>“</w:t>
            </w:r>
            <w:r>
              <w:rPr>
                <w:kern w:val="0"/>
                <w:sz w:val="22"/>
                <w:szCs w:val="22"/>
              </w:rPr>
              <w:t>儿童保健学大纲</w:t>
            </w:r>
            <w:r>
              <w:rPr>
                <w:rFonts w:hint="eastAsia" w:asciiTheme="minorEastAsia" w:hAnsiTheme="minorEastAsia" w:eastAsiaTheme="minorEastAsia" w:cstheme="minorEastAsia"/>
                <w:kern w:val="0"/>
                <w:sz w:val="22"/>
                <w:szCs w:val="22"/>
              </w:rPr>
              <w:t>”</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6</w:t>
            </w:r>
            <w:r>
              <w:rPr>
                <w:kern w:val="0"/>
                <w:sz w:val="22"/>
                <w:szCs w:val="22"/>
              </w:rPr>
              <w:t>．孕产期保健管理</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（1）妊娠风险评估与管理</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（2）信息管理与评价指标</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7</w:t>
            </w:r>
            <w:r>
              <w:rPr>
                <w:kern w:val="0"/>
                <w:sz w:val="22"/>
                <w:szCs w:val="22"/>
              </w:rPr>
              <w:t>．预防艾滋病、梅毒、乙肝母婴传播</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（1）概述</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（2）母婴传播的危害</w:t>
            </w:r>
          </w:p>
        </w:tc>
        <w:tc>
          <w:tcPr>
            <w:tcW w:w="543" w:type="pct"/>
            <w:tcBorders>
              <w:top w:val="single" w:color="auto" w:sz="4" w:space="0"/>
              <w:left w:val="nil"/>
              <w:bottom w:val="single" w:color="auto" w:sz="4" w:space="0"/>
              <w:right w:val="single" w:color="auto" w:sz="4" w:space="0"/>
            </w:tcBorders>
            <w:shd w:val="clear" w:color="auto" w:fill="auto"/>
            <w:vAlign w:val="center"/>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（3）预防策略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（4）干预措施</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五、避孕节育保健</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1</w:t>
            </w:r>
            <w:r>
              <w:rPr>
                <w:kern w:val="0"/>
                <w:sz w:val="22"/>
                <w:szCs w:val="22"/>
              </w:rPr>
              <w:t>．避孕节育保健概述</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（1）避孕节育定义与原理</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（2）服务与管理</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2</w:t>
            </w:r>
            <w:r>
              <w:rPr>
                <w:kern w:val="0"/>
                <w:sz w:val="22"/>
                <w:szCs w:val="22"/>
              </w:rPr>
              <w:t>．避孕方法选择与保健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（1）常用的避孕方法</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（2）避孕方法选择与保健</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六、更年期保健</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1</w:t>
            </w:r>
            <w:r>
              <w:rPr>
                <w:kern w:val="0"/>
                <w:sz w:val="22"/>
                <w:szCs w:val="22"/>
              </w:rPr>
              <w:t>．更年期保健概论</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（1）概念</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（2）重要性</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2</w:t>
            </w:r>
            <w:r>
              <w:rPr>
                <w:kern w:val="0"/>
                <w:sz w:val="22"/>
                <w:szCs w:val="22"/>
              </w:rPr>
              <w:t>．更年期妇女生理及心理特点</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（1）生理特点</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（2）心理特点</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3</w:t>
            </w:r>
            <w:r>
              <w:rPr>
                <w:kern w:val="0"/>
                <w:sz w:val="22"/>
                <w:szCs w:val="22"/>
              </w:rPr>
              <w:t>．更年期常见的健康问题及保健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（1）常见健康问题</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（2）保健要点</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七、妇女常见病防治</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1</w:t>
            </w:r>
            <w:r>
              <w:rPr>
                <w:kern w:val="0"/>
                <w:sz w:val="22"/>
                <w:szCs w:val="22"/>
              </w:rPr>
              <w:t>．妇女常见病筛查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（1）筛查管理</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（2）筛查内容与方法</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2</w:t>
            </w:r>
            <w:r>
              <w:rPr>
                <w:kern w:val="0"/>
                <w:sz w:val="22"/>
                <w:szCs w:val="22"/>
              </w:rPr>
              <w:t>．妇科常见恶性肿瘤的预防</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（1）相关危险因素</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（2）预防</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eastAsia="等线"/>
                <w:kern w:val="0"/>
                <w:sz w:val="22"/>
                <w:szCs w:val="22"/>
              </w:rPr>
            </w:pPr>
            <w:r>
              <w:rPr>
                <w:rFonts w:eastAsia="等线"/>
                <w:kern w:val="0"/>
                <w:sz w:val="22"/>
                <w:szCs w:val="22"/>
              </w:rPr>
              <w:t>3</w:t>
            </w:r>
            <w:r>
              <w:rPr>
                <w:kern w:val="0"/>
                <w:sz w:val="22"/>
                <w:szCs w:val="22"/>
              </w:rPr>
              <w:t>．生殖道感染的防治</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（1）基本概念</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（2）危害</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kern w:val="0"/>
                <w:sz w:val="22"/>
                <w:szCs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eastAsia="等线"/>
                <w:kern w:val="0"/>
                <w:sz w:val="22"/>
                <w:szCs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szCs w:val="22"/>
              </w:rPr>
            </w:pPr>
            <w:r>
              <w:rPr>
                <w:kern w:val="0"/>
                <w:sz w:val="22"/>
                <w:szCs w:val="22"/>
              </w:rPr>
              <w:t>（3）干预措施</w:t>
            </w:r>
          </w:p>
        </w:tc>
        <w:tc>
          <w:tcPr>
            <w:tcW w:w="543" w:type="pct"/>
            <w:tcBorders>
              <w:top w:val="single" w:color="auto" w:sz="4" w:space="0"/>
              <w:left w:val="nil"/>
              <w:bottom w:val="single" w:color="auto" w:sz="4" w:space="0"/>
              <w:right w:val="single" w:color="auto" w:sz="4" w:space="0"/>
            </w:tcBorders>
            <w:shd w:val="clear" w:color="auto" w:fill="auto"/>
            <w:noWrap/>
            <w:vAlign w:val="bottom"/>
          </w:tcPr>
          <w:p>
            <w:pPr>
              <w:widowControl/>
              <w:jc w:val="cente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4"/>
            <w:tcBorders>
              <w:top w:val="single" w:color="auto" w:sz="4" w:space="0"/>
              <w:bottom w:val="single" w:color="auto" w:sz="4" w:space="0"/>
            </w:tcBorders>
            <w:vAlign w:val="center"/>
          </w:tcPr>
          <w:p>
            <w:pPr>
              <w:pStyle w:val="77"/>
            </w:pPr>
            <w:bookmarkStart w:id="44" w:name="_Toc142388627"/>
            <w:bookmarkStart w:id="45" w:name="_Toc144217070"/>
            <w:r>
              <w:rPr>
                <w:rFonts w:hint="eastAsia"/>
              </w:rPr>
              <w:t>七、</w:t>
            </w:r>
            <w:r>
              <w:t>儿童保健学</w:t>
            </w:r>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tcBorders>
              <w:bottom w:val="single" w:color="auto" w:sz="4" w:space="0"/>
            </w:tcBorders>
            <w:vAlign w:val="center"/>
          </w:tcPr>
          <w:p>
            <w:pPr>
              <w:widowControl/>
              <w:adjustRightInd w:val="0"/>
              <w:snapToGrid w:val="0"/>
              <w:jc w:val="center"/>
              <w:rPr>
                <w:b/>
                <w:bCs/>
                <w:kern w:val="0"/>
                <w:sz w:val="22"/>
              </w:rPr>
            </w:pPr>
            <w:r>
              <w:rPr>
                <w:b/>
                <w:bCs/>
                <w:kern w:val="0"/>
                <w:sz w:val="22"/>
              </w:rPr>
              <w:t>单  元</w:t>
            </w:r>
          </w:p>
        </w:tc>
        <w:tc>
          <w:tcPr>
            <w:tcW w:w="1254" w:type="pct"/>
            <w:tcBorders>
              <w:bottom w:val="single" w:color="auto" w:sz="4" w:space="0"/>
            </w:tcBorders>
            <w:vAlign w:val="center"/>
          </w:tcPr>
          <w:p>
            <w:pPr>
              <w:widowControl/>
              <w:adjustRightInd w:val="0"/>
              <w:snapToGrid w:val="0"/>
              <w:jc w:val="center"/>
              <w:rPr>
                <w:b/>
                <w:bCs/>
                <w:kern w:val="0"/>
                <w:sz w:val="22"/>
              </w:rPr>
            </w:pPr>
            <w:r>
              <w:rPr>
                <w:b/>
                <w:bCs/>
                <w:kern w:val="0"/>
                <w:sz w:val="22"/>
              </w:rPr>
              <w:t>细  目</w:t>
            </w:r>
          </w:p>
        </w:tc>
        <w:tc>
          <w:tcPr>
            <w:tcW w:w="2265" w:type="pct"/>
            <w:tcBorders>
              <w:bottom w:val="single" w:color="auto" w:sz="4" w:space="0"/>
            </w:tcBorders>
            <w:vAlign w:val="center"/>
          </w:tcPr>
          <w:p>
            <w:pPr>
              <w:widowControl/>
              <w:adjustRightInd w:val="0"/>
              <w:snapToGrid w:val="0"/>
              <w:jc w:val="center"/>
              <w:rPr>
                <w:b/>
                <w:bCs/>
                <w:kern w:val="0"/>
                <w:sz w:val="22"/>
              </w:rPr>
            </w:pPr>
            <w:r>
              <w:rPr>
                <w:b/>
                <w:bCs/>
                <w:kern w:val="0"/>
                <w:sz w:val="22"/>
              </w:rPr>
              <w:t>要  点</w:t>
            </w:r>
          </w:p>
        </w:tc>
        <w:tc>
          <w:tcPr>
            <w:tcW w:w="543" w:type="pct"/>
            <w:tcBorders>
              <w:bottom w:val="single" w:color="auto" w:sz="4" w:space="0"/>
            </w:tcBorders>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kern w:val="0"/>
                <w:sz w:val="22"/>
              </w:rPr>
            </w:pPr>
            <w:r>
              <w:rPr>
                <w:kern w:val="0"/>
                <w:sz w:val="22"/>
              </w:rPr>
              <w:t>一、体格生长发育</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1．生长发育的规律及影响因素</w:t>
            </w:r>
          </w:p>
        </w:tc>
        <w:tc>
          <w:tcPr>
            <w:tcW w:w="2265"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（1）生长发育规律</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（2）生长发育影响因素</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2．0～6岁儿童体格生长的常用指标</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（1）体重</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（2）身高（身长）</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（3）头围</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（4）其他指标</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3．生长发育评价</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（1）评价指标</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（2）评价方法</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（3）评价内容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二、神经心理发育</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1．神经系统发育</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（1）脑发育的可塑性</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（2）环境对脑发育的影响</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2．运动语言行为发育</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（1）运动发育</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（2）语言发育</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3．心理发展</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（1）感知觉</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（2）注意</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（3）记忆</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（4）思维</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（5）情绪情感</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三、合理营养</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1．儿童的营养需求</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（1）儿童的营养需求特点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（2）各类营养素的需求</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2．母乳喂养</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（1）母乳喂养重要性</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（2）乳汁的产生和分泌</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（3）母乳喂养技巧</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（4）部分母乳喂养</w:t>
            </w:r>
            <w:r>
              <w:rPr>
                <w:rFonts w:hint="eastAsia"/>
                <w:kern w:val="0"/>
                <w:sz w:val="22"/>
              </w:rPr>
              <w:t>和人工喂养</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w:t>
            </w:r>
            <w:r>
              <w:rPr>
                <w:rFonts w:hint="eastAsia"/>
                <w:kern w:val="0"/>
                <w:sz w:val="22"/>
              </w:rPr>
              <w:t>5</w:t>
            </w:r>
            <w:r>
              <w:rPr>
                <w:kern w:val="0"/>
                <w:sz w:val="22"/>
              </w:rPr>
              <w:t>）特殊情形下母乳喂养</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3．辅食添加</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（1）辅食添加的目的</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（2）辅食添加的原则</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（3）辅食添加的方法</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rPr>
            </w:pPr>
            <w:r>
              <w:rPr>
                <w:kern w:val="0"/>
                <w:sz w:val="22"/>
              </w:rPr>
              <w:t>4．2～6岁儿童膳食管理</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w:t>
            </w:r>
            <w:r>
              <w:rPr>
                <w:kern w:val="0"/>
              </w:rPr>
              <w:t>膳食安排应遵循的原则</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w:t>
            </w:r>
            <w:r>
              <w:rPr>
                <w:kern w:val="0"/>
              </w:rPr>
              <w:t>膳食品种、餐次及制作</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（3）安全与卫生</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（4）膳食与营养评价方法</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5．良好饮食习惯的培养</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（1）良好饮食习惯的内容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（2）如何培养良好的饮食习惯</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四、预防接种</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1．疫苗接种的免疫程序</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（1）疫苗分类</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（2）国家免疫规划疫苗儿童免疫程序</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w:t>
            </w:r>
            <w:r>
              <w:rPr>
                <w:bCs/>
                <w:sz w:val="22"/>
              </w:rPr>
              <w:t>国家免疫规划疫苗使用原则</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2．儿童</w:t>
            </w:r>
            <w:r>
              <w:rPr>
                <w:sz w:val="22"/>
              </w:rPr>
              <w:t>常规接种疫苗的使用说明</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w:t>
            </w:r>
            <w:r>
              <w:rPr>
                <w:szCs w:val="21"/>
              </w:rPr>
              <w:t>乙型肝炎疫苗</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（2）卡介苗</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w:t>
            </w:r>
            <w:r>
              <w:rPr>
                <w:sz w:val="22"/>
                <w:szCs w:val="21"/>
              </w:rPr>
              <w:t>脊灰减毒活疫苗、脊灰灭活疫苗</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w:t>
            </w:r>
            <w:r>
              <w:rPr>
                <w:sz w:val="22"/>
                <w:szCs w:val="21"/>
              </w:rPr>
              <w:t>百白破疫苗、白破疫苗</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w:t>
            </w:r>
            <w:r>
              <w:rPr>
                <w:sz w:val="22"/>
                <w:szCs w:val="21"/>
              </w:rPr>
              <w:t>麻腮风疫苗</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sz w:val="22"/>
                <w:szCs w:val="21"/>
              </w:rPr>
              <w:t>（6）乙脑减毒活疫苗、乙脑灭活疫苗</w:t>
            </w:r>
          </w:p>
        </w:tc>
        <w:tc>
          <w:tcPr>
            <w:tcW w:w="543" w:type="pct"/>
            <w:tcBorders>
              <w:top w:val="single" w:color="auto" w:sz="4" w:space="0"/>
              <w:left w:val="nil"/>
              <w:bottom w:val="single" w:color="auto" w:sz="4" w:space="0"/>
              <w:right w:val="single" w:color="auto" w:sz="4" w:space="0"/>
            </w:tcBorders>
          </w:tcPr>
          <w:p>
            <w:pPr>
              <w:widowControl/>
              <w:jc w:val="center"/>
              <w:rPr>
                <w:sz w:val="22"/>
                <w:szCs w:val="21"/>
              </w:rPr>
            </w:pPr>
            <w:r>
              <w:rPr>
                <w:sz w:val="22"/>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sz w:val="22"/>
                <w:szCs w:val="21"/>
              </w:rPr>
              <w:t>（7）A群脑膜炎球菌多糖疫苗</w:t>
            </w:r>
            <w:r>
              <w:rPr>
                <w:kern w:val="0"/>
                <w:sz w:val="22"/>
              </w:rPr>
              <w:t>、A群C群</w:t>
            </w:r>
            <w:r>
              <w:rPr>
                <w:sz w:val="22"/>
                <w:szCs w:val="21"/>
              </w:rPr>
              <w:t>脑膜炎球菌</w:t>
            </w:r>
            <w:r>
              <w:rPr>
                <w:kern w:val="0"/>
                <w:sz w:val="22"/>
              </w:rPr>
              <w:t>多糖疫苗</w:t>
            </w:r>
          </w:p>
        </w:tc>
        <w:tc>
          <w:tcPr>
            <w:tcW w:w="543" w:type="pct"/>
            <w:tcBorders>
              <w:top w:val="single" w:color="auto" w:sz="4" w:space="0"/>
              <w:left w:val="nil"/>
              <w:bottom w:val="single" w:color="auto" w:sz="4" w:space="0"/>
              <w:right w:val="single" w:color="auto" w:sz="4" w:space="0"/>
            </w:tcBorders>
          </w:tcPr>
          <w:p>
            <w:pPr>
              <w:widowControl/>
              <w:jc w:val="center"/>
              <w:rPr>
                <w:sz w:val="22"/>
                <w:szCs w:val="21"/>
              </w:rPr>
            </w:pPr>
            <w:r>
              <w:rPr>
                <w:sz w:val="22"/>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sz w:val="22"/>
                <w:szCs w:val="21"/>
              </w:rPr>
              <w:t>（8）甲肝减毒活疫苗、甲肝灭活疫苗</w:t>
            </w:r>
          </w:p>
        </w:tc>
        <w:tc>
          <w:tcPr>
            <w:tcW w:w="543" w:type="pct"/>
            <w:tcBorders>
              <w:top w:val="single" w:color="auto" w:sz="4" w:space="0"/>
              <w:left w:val="nil"/>
              <w:bottom w:val="single" w:color="auto" w:sz="4" w:space="0"/>
              <w:right w:val="single" w:color="auto" w:sz="4" w:space="0"/>
            </w:tcBorders>
          </w:tcPr>
          <w:p>
            <w:pPr>
              <w:widowControl/>
              <w:jc w:val="center"/>
              <w:rPr>
                <w:sz w:val="22"/>
                <w:szCs w:val="21"/>
              </w:rPr>
            </w:pPr>
            <w:r>
              <w:rPr>
                <w:sz w:val="22"/>
                <w:szCs w:val="21"/>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3．</w:t>
            </w:r>
            <w:r>
              <w:rPr>
                <w:bCs/>
                <w:sz w:val="22"/>
              </w:rPr>
              <w:t>常见特殊健康状态儿童接种</w:t>
            </w: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kern w:val="0"/>
                <w:sz w:val="22"/>
              </w:rPr>
              <w:t>（1）早产儿与低出生体重儿</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kern w:val="0"/>
                <w:sz w:val="22"/>
              </w:rPr>
              <w:t>（2）过敏</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kern w:val="0"/>
                <w:sz w:val="22"/>
              </w:rPr>
              <w:t>（3）人类免疫缺陷病毒（HIV）感染母亲所生儿童</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kern w:val="0"/>
                <w:sz w:val="22"/>
              </w:rPr>
              <w:t>（4）免疫功能异常</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sz w:val="22"/>
                <w:szCs w:val="21"/>
              </w:rPr>
            </w:pPr>
            <w:r>
              <w:rPr>
                <w:kern w:val="0"/>
                <w:sz w:val="22"/>
              </w:rPr>
              <w:t>（5）其他特殊健康状况</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rPr>
                <w:kern w:val="0"/>
                <w:sz w:val="22"/>
              </w:rPr>
            </w:pPr>
            <w:r>
              <w:rPr>
                <w:kern w:val="0"/>
                <w:sz w:val="22"/>
              </w:rPr>
              <w:t>4．预防接种的实施</w:t>
            </w:r>
          </w:p>
        </w:tc>
        <w:tc>
          <w:tcPr>
            <w:tcW w:w="2265"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（1）预防接种分类</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rPr>
                <w:kern w:val="0"/>
                <w:sz w:val="22"/>
              </w:rPr>
            </w:pPr>
          </w:p>
        </w:tc>
        <w:tc>
          <w:tcPr>
            <w:tcW w:w="2265" w:type="pct"/>
            <w:tcBorders>
              <w:top w:val="single" w:color="auto" w:sz="4" w:space="0"/>
              <w:left w:val="nil"/>
              <w:bottom w:val="single" w:color="auto" w:sz="4" w:space="0"/>
              <w:right w:val="single" w:color="auto" w:sz="4" w:space="0"/>
            </w:tcBorders>
            <w:shd w:val="clear" w:color="auto" w:fill="auto"/>
          </w:tcPr>
          <w:p>
            <w:pPr>
              <w:widowControl/>
              <w:rPr>
                <w:kern w:val="0"/>
                <w:sz w:val="22"/>
              </w:rPr>
            </w:pPr>
            <w:r>
              <w:rPr>
                <w:kern w:val="0"/>
                <w:sz w:val="22"/>
              </w:rPr>
              <w:t>（2）预防接种的反应</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五、儿童各年龄期保健</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1．新生儿期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2．婴儿期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3．幼儿期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4．学龄前期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5．学龄期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6．青春期</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（1）分期特点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（2）保健要点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六、儿童保健服务措施</w:t>
            </w:r>
          </w:p>
        </w:tc>
        <w:tc>
          <w:tcPr>
            <w:tcW w:w="1254" w:type="pct"/>
            <w:vMerge w:val="restar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1．新生儿疾病筛查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（1）遗传代谢病筛查</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（2）听力筛查</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2．新生儿健康管理</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（1）新生儿家庭访视</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（2）新生儿满月健康管理</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3．婴幼儿健康管理</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（1）服务时间和地点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（2）服务内容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vAlign w:val="center"/>
          </w:tcPr>
          <w:p>
            <w:pPr>
              <w:widowControl/>
              <w:rPr>
                <w:kern w:val="0"/>
                <w:sz w:val="22"/>
              </w:rPr>
            </w:pPr>
            <w:r>
              <w:rPr>
                <w:kern w:val="0"/>
                <w:sz w:val="22"/>
              </w:rPr>
              <w:t>4．学龄前儿童健康管理</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（1）服务时间和地点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（2）服务内容</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5．五官保健</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（1）眼及视力保健</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（2）口腔保健</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（3）耳及听力保健</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七、儿童伤害</w:t>
            </w: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1．现状与预防</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（1）流行状况</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（2）危险因素</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t>熟悉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（3）预防策略和干预措施</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r>
              <w:rPr>
                <w:kern w:val="0"/>
                <w:sz w:val="22"/>
              </w:rPr>
              <w:t>2．常见儿童伤害的预防及急救处理</w:t>
            </w: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（1）溺水</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（2）跌落伤</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（3）中毒</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（4）烧烫伤</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（5）异物损伤</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（6）意外窒息</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（7）道路交通伤害</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kern w:val="0"/>
                <w:sz w:val="22"/>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12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rPr>
                <w:kern w:val="0"/>
                <w:sz w:val="22"/>
              </w:rPr>
            </w:pPr>
          </w:p>
        </w:tc>
        <w:tc>
          <w:tcPr>
            <w:tcW w:w="2265" w:type="pct"/>
            <w:tcBorders>
              <w:top w:val="single" w:color="auto" w:sz="4" w:space="0"/>
              <w:left w:val="nil"/>
              <w:bottom w:val="single" w:color="auto" w:sz="4" w:space="0"/>
              <w:right w:val="single" w:color="auto" w:sz="4" w:space="0"/>
            </w:tcBorders>
            <w:shd w:val="clear" w:color="auto" w:fill="auto"/>
            <w:vAlign w:val="center"/>
          </w:tcPr>
          <w:p>
            <w:pPr>
              <w:widowControl/>
              <w:rPr>
                <w:kern w:val="0"/>
                <w:sz w:val="22"/>
              </w:rPr>
            </w:pPr>
            <w:r>
              <w:rPr>
                <w:kern w:val="0"/>
                <w:sz w:val="22"/>
              </w:rPr>
              <w:t>（8）电击伤</w:t>
            </w:r>
          </w:p>
        </w:tc>
        <w:tc>
          <w:tcPr>
            <w:tcW w:w="543" w:type="pct"/>
            <w:tcBorders>
              <w:top w:val="single" w:color="auto" w:sz="4" w:space="0"/>
              <w:left w:val="nil"/>
              <w:bottom w:val="single" w:color="auto" w:sz="4" w:space="0"/>
              <w:right w:val="single" w:color="auto" w:sz="4" w:space="0"/>
            </w:tcBorders>
          </w:tcPr>
          <w:p>
            <w:pPr>
              <w:widowControl/>
              <w:jc w:val="center"/>
              <w:rPr>
                <w:kern w:val="0"/>
                <w:sz w:val="22"/>
              </w:rPr>
            </w:pPr>
            <w:r>
              <w:rPr>
                <w:lang w:eastAsia="zh-Hans"/>
              </w:rPr>
              <w:t>掌握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4"/>
            <w:tcBorders>
              <w:top w:val="single" w:color="auto" w:sz="4" w:space="0"/>
              <w:bottom w:val="single" w:color="auto" w:sz="4" w:space="0"/>
            </w:tcBorders>
            <w:shd w:val="clear" w:color="auto" w:fill="auto"/>
            <w:vAlign w:val="center"/>
          </w:tcPr>
          <w:p>
            <w:pPr>
              <w:pStyle w:val="77"/>
            </w:pPr>
            <w:bookmarkStart w:id="46" w:name="_Toc142388628"/>
            <w:bookmarkStart w:id="47" w:name="_Toc144217071"/>
            <w:r>
              <w:rPr>
                <w:rFonts w:hint="eastAsia"/>
              </w:rPr>
              <w:t>八、</w:t>
            </w:r>
            <w:r>
              <w:t>社会医学</w:t>
            </w:r>
            <w:bookmarkEnd w:id="46"/>
            <w:bookmark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rPr>
                <w:kern w:val="0"/>
                <w:sz w:val="22"/>
                <w:szCs w:val="22"/>
              </w:rPr>
            </w:pPr>
            <w:r>
              <w:rPr>
                <w:kern w:val="0"/>
                <w:sz w:val="22"/>
                <w:szCs w:val="22"/>
              </w:rPr>
              <w:t>一、绪论</w:t>
            </w:r>
          </w:p>
        </w:tc>
        <w:tc>
          <w:tcPr>
            <w:tcW w:w="1254" w:type="pct"/>
            <w:vMerge w:val="restart"/>
            <w:vAlign w:val="center"/>
          </w:tcPr>
          <w:p>
            <w:pPr>
              <w:rPr>
                <w:kern w:val="0"/>
                <w:sz w:val="22"/>
                <w:szCs w:val="22"/>
              </w:rPr>
            </w:pPr>
            <w:r>
              <w:rPr>
                <w:kern w:val="0"/>
                <w:sz w:val="22"/>
                <w:szCs w:val="22"/>
              </w:rPr>
              <w:t>社会医学的概念</w:t>
            </w:r>
          </w:p>
        </w:tc>
        <w:tc>
          <w:tcPr>
            <w:tcW w:w="2265" w:type="pct"/>
            <w:vAlign w:val="center"/>
          </w:tcPr>
          <w:p>
            <w:pPr>
              <w:widowControl/>
              <w:rPr>
                <w:kern w:val="0"/>
                <w:sz w:val="22"/>
                <w:szCs w:val="22"/>
              </w:rPr>
            </w:pPr>
            <w:r>
              <w:rPr>
                <w:kern w:val="0"/>
                <w:sz w:val="22"/>
                <w:szCs w:val="22"/>
              </w:rPr>
              <w:t>（1）社会医学的性质</w:t>
            </w:r>
          </w:p>
        </w:tc>
        <w:tc>
          <w:tcPr>
            <w:tcW w:w="543" w:type="pct"/>
          </w:tcPr>
          <w:p>
            <w:pPr>
              <w:widowControl/>
              <w:tabs>
                <w:tab w:val="left" w:pos="960"/>
              </w:tabs>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（2）社会医学的研究内容</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（3）社会医学的任务</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（4）三次卫生革命</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二、医学模式与健康观</w:t>
            </w:r>
          </w:p>
        </w:tc>
        <w:tc>
          <w:tcPr>
            <w:tcW w:w="1254" w:type="pct"/>
            <w:vMerge w:val="restart"/>
            <w:vAlign w:val="center"/>
          </w:tcPr>
          <w:p>
            <w:pPr>
              <w:widowControl/>
              <w:rPr>
                <w:kern w:val="0"/>
                <w:sz w:val="22"/>
                <w:szCs w:val="22"/>
              </w:rPr>
            </w:pPr>
            <w:r>
              <w:rPr>
                <w:kern w:val="0"/>
                <w:sz w:val="22"/>
                <w:szCs w:val="22"/>
              </w:rPr>
              <w:t>1．医学模式</w:t>
            </w:r>
          </w:p>
        </w:tc>
        <w:tc>
          <w:tcPr>
            <w:tcW w:w="2265" w:type="pct"/>
            <w:vAlign w:val="center"/>
          </w:tcPr>
          <w:p>
            <w:pPr>
              <w:widowControl/>
              <w:rPr>
                <w:kern w:val="0"/>
                <w:sz w:val="22"/>
                <w:szCs w:val="22"/>
              </w:rPr>
            </w:pPr>
            <w:r>
              <w:rPr>
                <w:kern w:val="0"/>
                <w:sz w:val="22"/>
                <w:szCs w:val="22"/>
              </w:rPr>
              <w:t>（1）医学模式的概念与演变</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（2）现代医学模式产生的背景</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（3）现代医学模式的内容</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（4）现代医学模式的影响</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2．健康观</w:t>
            </w:r>
          </w:p>
        </w:tc>
        <w:tc>
          <w:tcPr>
            <w:tcW w:w="2265" w:type="pct"/>
            <w:vAlign w:val="center"/>
          </w:tcPr>
          <w:p>
            <w:pPr>
              <w:widowControl/>
              <w:rPr>
                <w:kern w:val="0"/>
                <w:sz w:val="22"/>
                <w:szCs w:val="22"/>
              </w:rPr>
            </w:pPr>
            <w:r>
              <w:rPr>
                <w:kern w:val="0"/>
                <w:sz w:val="22"/>
                <w:szCs w:val="22"/>
              </w:rPr>
              <w:t>（1）健康与疾病的相对概念</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（2）不同的健康观</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三、社会因素与健康</w:t>
            </w:r>
          </w:p>
        </w:tc>
        <w:tc>
          <w:tcPr>
            <w:tcW w:w="1254" w:type="pct"/>
            <w:vMerge w:val="restart"/>
            <w:vAlign w:val="center"/>
          </w:tcPr>
          <w:p>
            <w:pPr>
              <w:widowControl/>
              <w:rPr>
                <w:kern w:val="0"/>
                <w:sz w:val="22"/>
                <w:szCs w:val="22"/>
              </w:rPr>
            </w:pPr>
            <w:r>
              <w:rPr>
                <w:kern w:val="0"/>
                <w:sz w:val="22"/>
                <w:szCs w:val="22"/>
              </w:rPr>
              <w:t>1．社会因素</w:t>
            </w:r>
          </w:p>
        </w:tc>
        <w:tc>
          <w:tcPr>
            <w:tcW w:w="2265" w:type="pct"/>
            <w:vAlign w:val="center"/>
          </w:tcPr>
          <w:p>
            <w:pPr>
              <w:widowControl/>
              <w:rPr>
                <w:kern w:val="0"/>
                <w:sz w:val="22"/>
                <w:szCs w:val="22"/>
              </w:rPr>
            </w:pPr>
            <w:r>
              <w:rPr>
                <w:kern w:val="0"/>
                <w:sz w:val="22"/>
                <w:szCs w:val="22"/>
              </w:rPr>
              <w:t>（1）社会因素的概念</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（2）社会因素影响健康的规律与特点</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（3）健康社会决定因素的概念与模型</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2．经济因素与健康</w:t>
            </w:r>
          </w:p>
        </w:tc>
        <w:tc>
          <w:tcPr>
            <w:tcW w:w="2265" w:type="pct"/>
            <w:vAlign w:val="center"/>
          </w:tcPr>
          <w:p>
            <w:pPr>
              <w:widowControl/>
              <w:rPr>
                <w:kern w:val="0"/>
                <w:sz w:val="22"/>
                <w:szCs w:val="22"/>
              </w:rPr>
            </w:pPr>
            <w:r>
              <w:rPr>
                <w:kern w:val="0"/>
                <w:sz w:val="22"/>
                <w:szCs w:val="22"/>
              </w:rPr>
              <w:t>（1）经济对健康的促进作用</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（2）经济对健康的负面影响</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（3）健康对社会经济的作用</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3．文化因素与健康</w:t>
            </w:r>
          </w:p>
        </w:tc>
        <w:tc>
          <w:tcPr>
            <w:tcW w:w="2265" w:type="pct"/>
            <w:vAlign w:val="center"/>
          </w:tcPr>
          <w:p>
            <w:pPr>
              <w:widowControl/>
              <w:rPr>
                <w:kern w:val="0"/>
                <w:sz w:val="22"/>
                <w:szCs w:val="22"/>
              </w:rPr>
            </w:pPr>
            <w:r>
              <w:rPr>
                <w:kern w:val="0"/>
                <w:sz w:val="22"/>
                <w:szCs w:val="22"/>
              </w:rPr>
              <w:t>（1）文化的概念与特征</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（2）不同文化类型对健康的影响</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（3）教育、科技、风俗习惯对健康的影响</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4．人口、家庭、社会阶层与健康</w:t>
            </w:r>
          </w:p>
        </w:tc>
        <w:tc>
          <w:tcPr>
            <w:tcW w:w="2265" w:type="pct"/>
            <w:vAlign w:val="center"/>
          </w:tcPr>
          <w:p>
            <w:pPr>
              <w:widowControl/>
              <w:rPr>
                <w:kern w:val="0"/>
                <w:sz w:val="22"/>
                <w:szCs w:val="22"/>
              </w:rPr>
            </w:pPr>
            <w:r>
              <w:rPr>
                <w:kern w:val="0"/>
                <w:sz w:val="22"/>
                <w:szCs w:val="22"/>
              </w:rPr>
              <w:t>（1）人口与健康的关系</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（2）家庭与健康的关系</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（3）社会阶层与健康的关系</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5．心理行为因素与健康</w:t>
            </w:r>
          </w:p>
        </w:tc>
        <w:tc>
          <w:tcPr>
            <w:tcW w:w="2265" w:type="pct"/>
            <w:vAlign w:val="center"/>
          </w:tcPr>
          <w:p>
            <w:pPr>
              <w:widowControl/>
              <w:rPr>
                <w:kern w:val="0"/>
                <w:sz w:val="22"/>
                <w:szCs w:val="22"/>
              </w:rPr>
            </w:pPr>
            <w:r>
              <w:rPr>
                <w:kern w:val="0"/>
                <w:sz w:val="22"/>
                <w:szCs w:val="22"/>
              </w:rPr>
              <w:t>（1）人格与健康的关系</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（2）心理压力对健康与疾病的作用</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（3）健康相关行为</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四、社会医学研究</w:t>
            </w:r>
          </w:p>
        </w:tc>
        <w:tc>
          <w:tcPr>
            <w:tcW w:w="1254" w:type="pct"/>
            <w:vMerge w:val="restart"/>
            <w:vAlign w:val="center"/>
          </w:tcPr>
          <w:p>
            <w:pPr>
              <w:widowControl/>
              <w:rPr>
                <w:kern w:val="0"/>
                <w:sz w:val="22"/>
                <w:szCs w:val="22"/>
              </w:rPr>
            </w:pPr>
            <w:r>
              <w:rPr>
                <w:kern w:val="0"/>
                <w:sz w:val="22"/>
                <w:szCs w:val="22"/>
              </w:rPr>
              <w:t>1．研究方法概述</w:t>
            </w:r>
          </w:p>
        </w:tc>
        <w:tc>
          <w:tcPr>
            <w:tcW w:w="2265" w:type="pct"/>
            <w:vAlign w:val="center"/>
          </w:tcPr>
          <w:p>
            <w:pPr>
              <w:widowControl/>
              <w:rPr>
                <w:kern w:val="0"/>
                <w:sz w:val="22"/>
                <w:szCs w:val="22"/>
              </w:rPr>
            </w:pPr>
            <w:r>
              <w:rPr>
                <w:kern w:val="0"/>
                <w:sz w:val="22"/>
                <w:szCs w:val="22"/>
              </w:rPr>
              <w:t>（1）社会医学研究的常用方法</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（2）社会医学研究步骤</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2．定量研究</w:t>
            </w:r>
          </w:p>
        </w:tc>
        <w:tc>
          <w:tcPr>
            <w:tcW w:w="2265" w:type="pct"/>
            <w:vAlign w:val="center"/>
          </w:tcPr>
          <w:p>
            <w:pPr>
              <w:widowControl/>
              <w:rPr>
                <w:kern w:val="0"/>
                <w:sz w:val="22"/>
                <w:szCs w:val="22"/>
              </w:rPr>
            </w:pPr>
            <w:r>
              <w:rPr>
                <w:kern w:val="0"/>
                <w:sz w:val="22"/>
                <w:szCs w:val="22"/>
              </w:rPr>
              <w:t>（1）定量研究的特点与主要方法</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（2）问卷的一般结构</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（3）问题的种类和答案的格式</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（4）问卷设计的常见错误</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3．定性研究</w:t>
            </w:r>
          </w:p>
        </w:tc>
        <w:tc>
          <w:tcPr>
            <w:tcW w:w="2265" w:type="pct"/>
            <w:vAlign w:val="center"/>
          </w:tcPr>
          <w:p>
            <w:pPr>
              <w:widowControl/>
              <w:rPr>
                <w:kern w:val="0"/>
                <w:sz w:val="22"/>
                <w:szCs w:val="22"/>
              </w:rPr>
            </w:pPr>
            <w:r>
              <w:rPr>
                <w:kern w:val="0"/>
                <w:sz w:val="22"/>
                <w:szCs w:val="22"/>
              </w:rPr>
              <w:t>（1）定性研究的特点</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（2）常用的定性研究方法</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五、社会卫生状况与社会卫生策略</w:t>
            </w:r>
          </w:p>
        </w:tc>
        <w:tc>
          <w:tcPr>
            <w:tcW w:w="1254" w:type="pct"/>
            <w:vMerge w:val="restart"/>
            <w:vAlign w:val="center"/>
          </w:tcPr>
          <w:p>
            <w:pPr>
              <w:widowControl/>
              <w:rPr>
                <w:kern w:val="0"/>
                <w:sz w:val="22"/>
                <w:szCs w:val="22"/>
              </w:rPr>
            </w:pPr>
            <w:r>
              <w:rPr>
                <w:kern w:val="0"/>
                <w:sz w:val="22"/>
                <w:szCs w:val="22"/>
              </w:rPr>
              <w:t>1．社会卫生状况评价</w:t>
            </w:r>
          </w:p>
        </w:tc>
        <w:tc>
          <w:tcPr>
            <w:tcW w:w="2265" w:type="pct"/>
            <w:vAlign w:val="center"/>
          </w:tcPr>
          <w:p>
            <w:pPr>
              <w:widowControl/>
              <w:rPr>
                <w:kern w:val="0"/>
                <w:sz w:val="22"/>
                <w:szCs w:val="22"/>
              </w:rPr>
            </w:pPr>
            <w:r>
              <w:rPr>
                <w:kern w:val="0"/>
                <w:sz w:val="22"/>
                <w:szCs w:val="22"/>
              </w:rPr>
              <w:t>（1）社会卫生状况的含义</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（2）社会卫生状况的主要评价指标</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rPr>
                <w:kern w:val="0"/>
                <w:sz w:val="22"/>
                <w:szCs w:val="22"/>
              </w:rPr>
            </w:pPr>
            <w:r>
              <w:rPr>
                <w:kern w:val="0"/>
                <w:sz w:val="22"/>
                <w:szCs w:val="22"/>
              </w:rPr>
              <w:t>2．社会卫生策略</w:t>
            </w:r>
          </w:p>
        </w:tc>
        <w:tc>
          <w:tcPr>
            <w:tcW w:w="2265" w:type="pct"/>
            <w:vAlign w:val="center"/>
          </w:tcPr>
          <w:p>
            <w:pPr>
              <w:widowControl/>
              <w:rPr>
                <w:kern w:val="0"/>
                <w:sz w:val="22"/>
                <w:szCs w:val="22"/>
              </w:rPr>
            </w:pPr>
            <w:r>
              <w:rPr>
                <w:kern w:val="0"/>
                <w:sz w:val="22"/>
                <w:szCs w:val="22"/>
              </w:rPr>
              <w:t>（1）社会卫生策略的概念</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（2）21世纪人人享有卫生保健的总目标</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（3）初级卫生保健的概念、原则和实施策略</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（4）千年发展目标与可持续发展目标</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（5）健康中国战略</w:t>
            </w:r>
          </w:p>
        </w:tc>
        <w:tc>
          <w:tcPr>
            <w:tcW w:w="543" w:type="pct"/>
          </w:tcPr>
          <w:p>
            <w:pPr>
              <w:widowControl/>
              <w:jc w:val="center"/>
              <w:rPr>
                <w:kern w:val="0"/>
                <w:sz w:val="22"/>
                <w:szCs w:val="22"/>
              </w:rPr>
            </w:pPr>
            <w:r>
              <w:rPr>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六、健康管理</w:t>
            </w:r>
          </w:p>
        </w:tc>
        <w:tc>
          <w:tcPr>
            <w:tcW w:w="1254" w:type="pct"/>
            <w:vMerge w:val="restart"/>
            <w:vAlign w:val="center"/>
          </w:tcPr>
          <w:p>
            <w:pPr>
              <w:widowControl/>
              <w:rPr>
                <w:kern w:val="0"/>
                <w:sz w:val="22"/>
                <w:szCs w:val="22"/>
              </w:rPr>
            </w:pPr>
            <w:r>
              <w:rPr>
                <w:kern w:val="0"/>
                <w:sz w:val="22"/>
                <w:szCs w:val="22"/>
              </w:rPr>
              <w:t>1．概述</w:t>
            </w:r>
          </w:p>
        </w:tc>
        <w:tc>
          <w:tcPr>
            <w:tcW w:w="2265" w:type="pct"/>
            <w:vAlign w:val="center"/>
          </w:tcPr>
          <w:p>
            <w:pPr>
              <w:widowControl/>
              <w:rPr>
                <w:kern w:val="0"/>
                <w:sz w:val="22"/>
                <w:szCs w:val="22"/>
              </w:rPr>
            </w:pPr>
            <w:r>
              <w:rPr>
                <w:kern w:val="0"/>
                <w:sz w:val="22"/>
                <w:szCs w:val="22"/>
              </w:rPr>
              <w:t>（1）健康管理的概念</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（2）危险因素的特点与种类</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（3）危险因素的作用过程</w:t>
            </w:r>
          </w:p>
        </w:tc>
        <w:tc>
          <w:tcPr>
            <w:tcW w:w="543" w:type="pct"/>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2．健康管理的内容和策略</w:t>
            </w:r>
          </w:p>
        </w:tc>
        <w:tc>
          <w:tcPr>
            <w:tcW w:w="2265" w:type="pct"/>
            <w:vAlign w:val="center"/>
          </w:tcPr>
          <w:p>
            <w:pPr>
              <w:widowControl/>
              <w:rPr>
                <w:kern w:val="0"/>
                <w:sz w:val="22"/>
                <w:szCs w:val="22"/>
              </w:rPr>
            </w:pPr>
            <w:r>
              <w:rPr>
                <w:kern w:val="0"/>
                <w:sz w:val="22"/>
                <w:szCs w:val="22"/>
              </w:rPr>
              <w:t>（1）健康管理的核心内容</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（2）健康管理策略</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七、生命质量评价</w:t>
            </w:r>
          </w:p>
        </w:tc>
        <w:tc>
          <w:tcPr>
            <w:tcW w:w="1254" w:type="pct"/>
            <w:vMerge w:val="restart"/>
            <w:vAlign w:val="center"/>
          </w:tcPr>
          <w:p>
            <w:pPr>
              <w:widowControl/>
              <w:rPr>
                <w:kern w:val="0"/>
                <w:sz w:val="22"/>
                <w:szCs w:val="22"/>
              </w:rPr>
            </w:pPr>
            <w:r>
              <w:rPr>
                <w:kern w:val="0"/>
                <w:sz w:val="22"/>
                <w:szCs w:val="22"/>
              </w:rPr>
              <w:t>1．概述</w:t>
            </w:r>
          </w:p>
        </w:tc>
        <w:tc>
          <w:tcPr>
            <w:tcW w:w="2265" w:type="pct"/>
            <w:vAlign w:val="center"/>
          </w:tcPr>
          <w:p>
            <w:pPr>
              <w:widowControl/>
              <w:rPr>
                <w:kern w:val="0"/>
                <w:sz w:val="22"/>
                <w:szCs w:val="22"/>
              </w:rPr>
            </w:pPr>
            <w:r>
              <w:rPr>
                <w:kern w:val="0"/>
                <w:sz w:val="22"/>
                <w:szCs w:val="22"/>
              </w:rPr>
              <w:t>（1）生命质量概念</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（2）生命质量的构成</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2．生命质量评价的内容和测评工具</w:t>
            </w:r>
          </w:p>
        </w:tc>
        <w:tc>
          <w:tcPr>
            <w:tcW w:w="2265" w:type="pct"/>
            <w:vAlign w:val="center"/>
          </w:tcPr>
          <w:p>
            <w:pPr>
              <w:widowControl/>
              <w:rPr>
                <w:kern w:val="0"/>
                <w:sz w:val="22"/>
                <w:szCs w:val="22"/>
              </w:rPr>
            </w:pPr>
            <w:r>
              <w:rPr>
                <w:kern w:val="0"/>
                <w:sz w:val="22"/>
                <w:szCs w:val="22"/>
              </w:rPr>
              <w:t>（1）生命质量评价的内容</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（2）常用的测评工具</w:t>
            </w:r>
          </w:p>
        </w:tc>
        <w:tc>
          <w:tcPr>
            <w:tcW w:w="543" w:type="pct"/>
            <w:vAlign w:val="center"/>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938" w:type="pct"/>
            <w:vMerge w:val="continue"/>
            <w:vAlign w:val="center"/>
          </w:tcPr>
          <w:p>
            <w:pPr>
              <w:widowControl/>
              <w:rPr>
                <w:kern w:val="0"/>
                <w:sz w:val="22"/>
                <w:szCs w:val="22"/>
              </w:rPr>
            </w:pPr>
          </w:p>
        </w:tc>
        <w:tc>
          <w:tcPr>
            <w:tcW w:w="1254" w:type="pct"/>
            <w:vAlign w:val="center"/>
          </w:tcPr>
          <w:p>
            <w:pPr>
              <w:widowControl/>
              <w:rPr>
                <w:kern w:val="0"/>
                <w:sz w:val="22"/>
                <w:szCs w:val="22"/>
              </w:rPr>
            </w:pPr>
            <w:r>
              <w:rPr>
                <w:kern w:val="0"/>
                <w:sz w:val="22"/>
                <w:szCs w:val="22"/>
              </w:rPr>
              <w:t>3．生命质量评价的应用</w:t>
            </w:r>
          </w:p>
        </w:tc>
        <w:tc>
          <w:tcPr>
            <w:tcW w:w="2265" w:type="pct"/>
            <w:vAlign w:val="center"/>
          </w:tcPr>
          <w:p>
            <w:pPr>
              <w:widowControl/>
              <w:rPr>
                <w:kern w:val="0"/>
                <w:sz w:val="22"/>
                <w:szCs w:val="22"/>
              </w:rPr>
            </w:pPr>
            <w:r>
              <w:rPr>
                <w:kern w:val="0"/>
                <w:sz w:val="22"/>
                <w:szCs w:val="22"/>
              </w:rPr>
              <w:t>生命质量评价的适用范围</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八、社区卫生服务</w:t>
            </w:r>
          </w:p>
        </w:tc>
        <w:tc>
          <w:tcPr>
            <w:tcW w:w="1254" w:type="pct"/>
            <w:vMerge w:val="restart"/>
            <w:vAlign w:val="center"/>
          </w:tcPr>
          <w:p>
            <w:pPr>
              <w:widowControl/>
              <w:rPr>
                <w:kern w:val="0"/>
                <w:sz w:val="22"/>
                <w:szCs w:val="22"/>
              </w:rPr>
            </w:pPr>
            <w:r>
              <w:rPr>
                <w:kern w:val="0"/>
                <w:sz w:val="22"/>
                <w:szCs w:val="22"/>
              </w:rPr>
              <w:t>1．概述</w:t>
            </w:r>
          </w:p>
        </w:tc>
        <w:tc>
          <w:tcPr>
            <w:tcW w:w="2265" w:type="pct"/>
            <w:vAlign w:val="center"/>
          </w:tcPr>
          <w:p>
            <w:pPr>
              <w:widowControl/>
              <w:rPr>
                <w:kern w:val="0"/>
                <w:sz w:val="22"/>
                <w:szCs w:val="22"/>
              </w:rPr>
            </w:pPr>
            <w:r>
              <w:rPr>
                <w:kern w:val="0"/>
                <w:sz w:val="22"/>
                <w:szCs w:val="22"/>
              </w:rPr>
              <w:t>（1）社区卫生服务的概念</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（2）社区卫生服务的特点</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（3）社区卫生服务的意义</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2．社区卫生服务的内容与方式</w:t>
            </w:r>
          </w:p>
        </w:tc>
        <w:tc>
          <w:tcPr>
            <w:tcW w:w="2265" w:type="pct"/>
            <w:vAlign w:val="center"/>
          </w:tcPr>
          <w:p>
            <w:pPr>
              <w:widowControl/>
              <w:rPr>
                <w:kern w:val="0"/>
                <w:sz w:val="22"/>
                <w:szCs w:val="22"/>
              </w:rPr>
            </w:pPr>
            <w:r>
              <w:rPr>
                <w:kern w:val="0"/>
                <w:sz w:val="22"/>
                <w:szCs w:val="22"/>
              </w:rPr>
              <w:t>（1）社区卫生服务的内容</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（2）社区卫生服务的方式</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restart"/>
            <w:vAlign w:val="center"/>
          </w:tcPr>
          <w:p>
            <w:pPr>
              <w:widowControl/>
              <w:rPr>
                <w:kern w:val="0"/>
                <w:sz w:val="22"/>
                <w:szCs w:val="22"/>
              </w:rPr>
            </w:pPr>
            <w:r>
              <w:rPr>
                <w:kern w:val="0"/>
                <w:sz w:val="22"/>
                <w:szCs w:val="22"/>
              </w:rPr>
              <w:t>九、社会病防治</w:t>
            </w:r>
          </w:p>
        </w:tc>
        <w:tc>
          <w:tcPr>
            <w:tcW w:w="1254" w:type="pct"/>
            <w:vMerge w:val="restart"/>
            <w:vAlign w:val="center"/>
          </w:tcPr>
          <w:p>
            <w:pPr>
              <w:widowControl/>
              <w:rPr>
                <w:kern w:val="0"/>
                <w:sz w:val="22"/>
                <w:szCs w:val="22"/>
              </w:rPr>
            </w:pPr>
            <w:r>
              <w:rPr>
                <w:kern w:val="0"/>
                <w:sz w:val="22"/>
                <w:szCs w:val="22"/>
              </w:rPr>
              <w:t>1．基本概念</w:t>
            </w:r>
          </w:p>
        </w:tc>
        <w:tc>
          <w:tcPr>
            <w:tcW w:w="2265" w:type="pct"/>
            <w:vAlign w:val="center"/>
          </w:tcPr>
          <w:p>
            <w:pPr>
              <w:widowControl/>
              <w:rPr>
                <w:kern w:val="0"/>
                <w:sz w:val="22"/>
                <w:szCs w:val="22"/>
              </w:rPr>
            </w:pPr>
            <w:r>
              <w:rPr>
                <w:kern w:val="0"/>
                <w:sz w:val="22"/>
                <w:szCs w:val="22"/>
              </w:rPr>
              <w:t>（1）社会病的概念</w:t>
            </w:r>
          </w:p>
        </w:tc>
        <w:tc>
          <w:tcPr>
            <w:tcW w:w="543" w:type="pct"/>
            <w:vAlign w:val="center"/>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（2）社会病的特点</w:t>
            </w:r>
          </w:p>
        </w:tc>
        <w:tc>
          <w:tcPr>
            <w:tcW w:w="543" w:type="pct"/>
            <w:vAlign w:val="center"/>
          </w:tcPr>
          <w:p>
            <w:pPr>
              <w:widowControl/>
              <w:jc w:val="center"/>
              <w:rPr>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（3）社会病预防与控制</w:t>
            </w:r>
          </w:p>
        </w:tc>
        <w:tc>
          <w:tcPr>
            <w:tcW w:w="543" w:type="pct"/>
          </w:tcPr>
          <w:p>
            <w:pPr>
              <w:widowControl/>
              <w:jc w:val="center"/>
              <w:rPr>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restart"/>
            <w:vAlign w:val="center"/>
          </w:tcPr>
          <w:p>
            <w:pPr>
              <w:widowControl/>
              <w:rPr>
                <w:kern w:val="0"/>
                <w:sz w:val="22"/>
                <w:szCs w:val="22"/>
              </w:rPr>
            </w:pPr>
            <w:r>
              <w:rPr>
                <w:kern w:val="0"/>
                <w:sz w:val="22"/>
                <w:szCs w:val="22"/>
              </w:rPr>
              <w:t>2．几种典型的社会病</w:t>
            </w:r>
          </w:p>
        </w:tc>
        <w:tc>
          <w:tcPr>
            <w:tcW w:w="2265" w:type="pct"/>
            <w:vAlign w:val="center"/>
          </w:tcPr>
          <w:p>
            <w:pPr>
              <w:widowControl/>
              <w:rPr>
                <w:kern w:val="0"/>
                <w:sz w:val="22"/>
                <w:szCs w:val="22"/>
              </w:rPr>
            </w:pPr>
            <w:r>
              <w:rPr>
                <w:kern w:val="0"/>
                <w:sz w:val="22"/>
                <w:szCs w:val="22"/>
              </w:rPr>
              <w:t>（1）暴力行为</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（2）自杀</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（3）吸毒</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（4）非故意伤害</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（5）性传播疾病</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vAlign w:val="center"/>
          </w:tcPr>
          <w:p>
            <w:pPr>
              <w:widowControl/>
              <w:rPr>
                <w:kern w:val="0"/>
                <w:sz w:val="22"/>
                <w:szCs w:val="22"/>
              </w:rPr>
            </w:pPr>
          </w:p>
        </w:tc>
        <w:tc>
          <w:tcPr>
            <w:tcW w:w="1254" w:type="pct"/>
            <w:vMerge w:val="continue"/>
            <w:vAlign w:val="center"/>
          </w:tcPr>
          <w:p>
            <w:pPr>
              <w:widowControl/>
              <w:rPr>
                <w:kern w:val="0"/>
                <w:sz w:val="22"/>
                <w:szCs w:val="22"/>
              </w:rPr>
            </w:pPr>
          </w:p>
        </w:tc>
        <w:tc>
          <w:tcPr>
            <w:tcW w:w="2265" w:type="pct"/>
            <w:vAlign w:val="center"/>
          </w:tcPr>
          <w:p>
            <w:pPr>
              <w:widowControl/>
              <w:rPr>
                <w:kern w:val="0"/>
                <w:sz w:val="22"/>
                <w:szCs w:val="22"/>
              </w:rPr>
            </w:pPr>
            <w:r>
              <w:rPr>
                <w:kern w:val="0"/>
                <w:sz w:val="22"/>
                <w:szCs w:val="22"/>
              </w:rPr>
              <w:t>（6）青少年妊娠</w:t>
            </w:r>
          </w:p>
        </w:tc>
        <w:tc>
          <w:tcPr>
            <w:tcW w:w="543" w:type="pct"/>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938" w:type="pct"/>
            <w:vMerge w:val="continue"/>
            <w:tcBorders>
              <w:bottom w:val="single" w:color="auto" w:sz="4" w:space="0"/>
            </w:tcBorders>
            <w:vAlign w:val="center"/>
          </w:tcPr>
          <w:p>
            <w:pPr>
              <w:widowControl/>
              <w:rPr>
                <w:kern w:val="0"/>
                <w:sz w:val="22"/>
                <w:szCs w:val="22"/>
              </w:rPr>
            </w:pPr>
          </w:p>
        </w:tc>
        <w:tc>
          <w:tcPr>
            <w:tcW w:w="1254" w:type="pct"/>
            <w:vMerge w:val="continue"/>
            <w:tcBorders>
              <w:bottom w:val="single" w:color="auto" w:sz="4" w:space="0"/>
            </w:tcBorders>
            <w:vAlign w:val="center"/>
          </w:tcPr>
          <w:p>
            <w:pPr>
              <w:widowControl/>
              <w:rPr>
                <w:kern w:val="0"/>
                <w:sz w:val="22"/>
                <w:szCs w:val="22"/>
              </w:rPr>
            </w:pPr>
          </w:p>
        </w:tc>
        <w:tc>
          <w:tcPr>
            <w:tcW w:w="2265" w:type="pct"/>
            <w:tcBorders>
              <w:bottom w:val="single" w:color="auto" w:sz="4" w:space="0"/>
            </w:tcBorders>
            <w:vAlign w:val="center"/>
          </w:tcPr>
          <w:p>
            <w:pPr>
              <w:widowControl/>
              <w:rPr>
                <w:kern w:val="0"/>
                <w:sz w:val="22"/>
                <w:szCs w:val="22"/>
              </w:rPr>
            </w:pPr>
            <w:r>
              <w:rPr>
                <w:kern w:val="0"/>
                <w:sz w:val="22"/>
                <w:szCs w:val="22"/>
              </w:rPr>
              <w:t>（7）精神障碍</w:t>
            </w:r>
          </w:p>
        </w:tc>
        <w:tc>
          <w:tcPr>
            <w:tcW w:w="543" w:type="pct"/>
            <w:tcBorders>
              <w:bottom w:val="single" w:color="auto" w:sz="4" w:space="0"/>
            </w:tcBorders>
          </w:tcPr>
          <w:p>
            <w:pPr>
              <w:widowControl/>
              <w:jc w:val="center"/>
              <w:rPr>
                <w:kern w:val="0"/>
                <w:sz w:val="22"/>
                <w:szCs w:val="22"/>
              </w:rPr>
            </w:pPr>
            <w: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000" w:type="pct"/>
            <w:gridSpan w:val="4"/>
            <w:tcBorders>
              <w:left w:val="nil"/>
              <w:right w:val="nil"/>
            </w:tcBorders>
            <w:vAlign w:val="center"/>
          </w:tcPr>
          <w:p>
            <w:pPr>
              <w:pStyle w:val="77"/>
            </w:pPr>
            <w:bookmarkStart w:id="48" w:name="_Toc142388629"/>
            <w:bookmarkStart w:id="49" w:name="_Toc144217072"/>
            <w:r>
              <w:rPr>
                <w:rFonts w:hint="eastAsia"/>
              </w:rPr>
              <w:t>九、</w:t>
            </w:r>
            <w:r>
              <w:t>健康教育与健康促进</w:t>
            </w:r>
            <w:bookmarkEnd w:id="48"/>
            <w:bookmarkEnd w:id="4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pct"/>
            <w:vAlign w:val="center"/>
          </w:tcPr>
          <w:p>
            <w:pPr>
              <w:widowControl/>
              <w:adjustRightInd w:val="0"/>
              <w:snapToGrid w:val="0"/>
              <w:jc w:val="center"/>
              <w:rPr>
                <w:b/>
                <w:bCs/>
                <w:kern w:val="0"/>
                <w:sz w:val="22"/>
              </w:rPr>
            </w:pPr>
            <w:r>
              <w:rPr>
                <w:b/>
                <w:bCs/>
                <w:kern w:val="0"/>
                <w:sz w:val="22"/>
              </w:rPr>
              <w:t>单  元</w:t>
            </w:r>
          </w:p>
        </w:tc>
        <w:tc>
          <w:tcPr>
            <w:tcW w:w="1254" w:type="pct"/>
            <w:vAlign w:val="center"/>
          </w:tcPr>
          <w:p>
            <w:pPr>
              <w:widowControl/>
              <w:adjustRightInd w:val="0"/>
              <w:snapToGrid w:val="0"/>
              <w:jc w:val="center"/>
              <w:rPr>
                <w:b/>
                <w:bCs/>
                <w:kern w:val="0"/>
                <w:sz w:val="22"/>
              </w:rPr>
            </w:pPr>
            <w:r>
              <w:rPr>
                <w:b/>
                <w:bCs/>
                <w:kern w:val="0"/>
                <w:sz w:val="22"/>
              </w:rPr>
              <w:t>细  目</w:t>
            </w:r>
          </w:p>
        </w:tc>
        <w:tc>
          <w:tcPr>
            <w:tcW w:w="2265" w:type="pct"/>
            <w:vAlign w:val="center"/>
          </w:tcPr>
          <w:p>
            <w:pPr>
              <w:widowControl/>
              <w:adjustRightInd w:val="0"/>
              <w:snapToGrid w:val="0"/>
              <w:jc w:val="center"/>
              <w:rPr>
                <w:b/>
                <w:bCs/>
                <w:kern w:val="0"/>
                <w:sz w:val="22"/>
              </w:rPr>
            </w:pPr>
            <w:r>
              <w:rPr>
                <w:b/>
                <w:bCs/>
                <w:kern w:val="0"/>
                <w:sz w:val="22"/>
              </w:rPr>
              <w:t>要  点</w:t>
            </w:r>
          </w:p>
        </w:tc>
        <w:tc>
          <w:tcPr>
            <w:tcW w:w="543" w:type="pct"/>
            <w:vAlign w:val="center"/>
          </w:tcPr>
          <w:p>
            <w:pPr>
              <w:widowControl/>
              <w:adjustRightInd w:val="0"/>
              <w:snapToGrid w:val="0"/>
              <w:jc w:val="center"/>
              <w:rPr>
                <w:b/>
                <w:bCs/>
                <w:kern w:val="0"/>
                <w:sz w:val="22"/>
                <w:szCs w:val="22"/>
              </w:rPr>
            </w:pPr>
            <w:r>
              <w:rPr>
                <w:rFonts w:hint="eastAsia"/>
                <w:b/>
                <w:bCs/>
                <w:kern w:val="0"/>
                <w:sz w:val="22"/>
                <w:szCs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938" w:type="pct"/>
            <w:vMerge w:val="restart"/>
            <w:noWrap/>
            <w:vAlign w:val="center"/>
          </w:tcPr>
          <w:p>
            <w:pPr>
              <w:widowControl/>
              <w:rPr>
                <w:kern w:val="0"/>
                <w:sz w:val="22"/>
                <w:szCs w:val="22"/>
              </w:rPr>
            </w:pPr>
            <w:r>
              <w:rPr>
                <w:kern w:val="0"/>
                <w:sz w:val="22"/>
                <w:szCs w:val="22"/>
              </w:rPr>
              <w:t>一、概论</w:t>
            </w:r>
          </w:p>
        </w:tc>
        <w:tc>
          <w:tcPr>
            <w:tcW w:w="1254" w:type="pct"/>
            <w:vMerge w:val="restart"/>
            <w:noWrap/>
            <w:vAlign w:val="center"/>
          </w:tcPr>
          <w:p>
            <w:pPr>
              <w:widowControl/>
              <w:rPr>
                <w:bCs/>
                <w:kern w:val="0"/>
                <w:sz w:val="22"/>
                <w:szCs w:val="22"/>
              </w:rPr>
            </w:pPr>
            <w:r>
              <w:rPr>
                <w:bCs/>
                <w:kern w:val="0"/>
                <w:sz w:val="22"/>
                <w:szCs w:val="22"/>
              </w:rPr>
              <w:t>1．健康教育</w:t>
            </w:r>
          </w:p>
        </w:tc>
        <w:tc>
          <w:tcPr>
            <w:tcW w:w="2265" w:type="pct"/>
            <w:vAlign w:val="center"/>
          </w:tcPr>
          <w:p>
            <w:pPr>
              <w:widowControl/>
              <w:rPr>
                <w:bCs/>
                <w:kern w:val="0"/>
                <w:sz w:val="22"/>
                <w:szCs w:val="22"/>
              </w:rPr>
            </w:pPr>
            <w:r>
              <w:rPr>
                <w:bCs/>
                <w:kern w:val="0"/>
                <w:sz w:val="22"/>
                <w:szCs w:val="22"/>
              </w:rPr>
              <w:t>（1）影响健康的因素</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（2）健康教育的概念</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（3）健康素养的概念</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2．健康促进</w:t>
            </w:r>
          </w:p>
        </w:tc>
        <w:tc>
          <w:tcPr>
            <w:tcW w:w="2265" w:type="pct"/>
            <w:vAlign w:val="center"/>
          </w:tcPr>
          <w:p>
            <w:pPr>
              <w:widowControl/>
              <w:rPr>
                <w:bCs/>
                <w:kern w:val="0"/>
                <w:sz w:val="22"/>
                <w:szCs w:val="22"/>
              </w:rPr>
            </w:pPr>
            <w:r>
              <w:rPr>
                <w:bCs/>
                <w:kern w:val="0"/>
                <w:sz w:val="22"/>
                <w:szCs w:val="22"/>
              </w:rPr>
              <w:t>（1）健康促进的概念</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（2）健康促进的活动领域</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（3）基本策略及核心策略</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restart"/>
            <w:vAlign w:val="center"/>
          </w:tcPr>
          <w:p>
            <w:pPr>
              <w:rPr>
                <w:bCs/>
                <w:kern w:val="0"/>
                <w:sz w:val="22"/>
                <w:szCs w:val="22"/>
              </w:rPr>
            </w:pPr>
            <w:r>
              <w:rPr>
                <w:bCs/>
                <w:kern w:val="0"/>
                <w:sz w:val="22"/>
                <w:szCs w:val="22"/>
              </w:rPr>
              <w:t>3．健康教育与健康促进的意义与进展</w:t>
            </w:r>
          </w:p>
        </w:tc>
        <w:tc>
          <w:tcPr>
            <w:tcW w:w="2265" w:type="pct"/>
            <w:vAlign w:val="center"/>
          </w:tcPr>
          <w:p>
            <w:pPr>
              <w:widowControl/>
              <w:rPr>
                <w:bCs/>
                <w:kern w:val="0"/>
                <w:sz w:val="22"/>
                <w:szCs w:val="22"/>
              </w:rPr>
            </w:pPr>
            <w:r>
              <w:rPr>
                <w:bCs/>
                <w:kern w:val="0"/>
                <w:sz w:val="22"/>
                <w:szCs w:val="22"/>
              </w:rPr>
              <w:t>（1）健康教育与健康促进的意义</w:t>
            </w:r>
          </w:p>
        </w:tc>
        <w:tc>
          <w:tcPr>
            <w:tcW w:w="543" w:type="pct"/>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（2）国家基本公共卫生服务</w:t>
            </w:r>
          </w:p>
        </w:tc>
        <w:tc>
          <w:tcPr>
            <w:tcW w:w="543" w:type="pct"/>
          </w:tcPr>
          <w:p>
            <w:pPr>
              <w:widowControl/>
              <w:jc w:val="center"/>
              <w:rPr>
                <w:bCs/>
                <w:kern w:val="0"/>
                <w:sz w:val="22"/>
                <w:szCs w:val="22"/>
              </w:rPr>
            </w:pPr>
            <w:r>
              <w:rPr>
                <w:bCs/>
                <w:kern w:val="0"/>
                <w:sz w:val="22"/>
                <w:szCs w:val="22"/>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（3）将健康融入所有政策</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（4）健康中国战略</w:t>
            </w:r>
          </w:p>
        </w:tc>
        <w:tc>
          <w:tcPr>
            <w:tcW w:w="543" w:type="pct"/>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widowControl/>
              <w:rPr>
                <w:bCs/>
                <w:kern w:val="0"/>
                <w:sz w:val="22"/>
                <w:szCs w:val="22"/>
              </w:rPr>
            </w:pPr>
            <w:r>
              <w:rPr>
                <w:bCs/>
                <w:kern w:val="0"/>
                <w:sz w:val="22"/>
                <w:szCs w:val="22"/>
              </w:rPr>
              <w:t>二、健康相关行为</w:t>
            </w:r>
          </w:p>
        </w:tc>
        <w:tc>
          <w:tcPr>
            <w:tcW w:w="1254" w:type="pct"/>
            <w:vMerge w:val="restart"/>
            <w:vAlign w:val="center"/>
          </w:tcPr>
          <w:p>
            <w:pPr>
              <w:widowControl/>
              <w:rPr>
                <w:bCs/>
                <w:kern w:val="0"/>
                <w:sz w:val="22"/>
                <w:szCs w:val="22"/>
              </w:rPr>
            </w:pPr>
            <w:r>
              <w:rPr>
                <w:bCs/>
                <w:kern w:val="0"/>
                <w:sz w:val="22"/>
                <w:szCs w:val="22"/>
              </w:rPr>
              <w:t>1．概述</w:t>
            </w:r>
          </w:p>
        </w:tc>
        <w:tc>
          <w:tcPr>
            <w:tcW w:w="2265" w:type="pct"/>
            <w:vAlign w:val="center"/>
          </w:tcPr>
          <w:p>
            <w:pPr>
              <w:widowControl/>
              <w:rPr>
                <w:bCs/>
                <w:kern w:val="0"/>
                <w:sz w:val="22"/>
                <w:szCs w:val="22"/>
              </w:rPr>
            </w:pPr>
            <w:r>
              <w:rPr>
                <w:bCs/>
                <w:kern w:val="0"/>
                <w:sz w:val="22"/>
                <w:szCs w:val="22"/>
              </w:rPr>
              <w:t>（1）健康相关行为概念及其分类</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（2）促进健康行为</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（3）危害健康行为</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2．健康相关行为改变的基本理论</w:t>
            </w:r>
          </w:p>
        </w:tc>
        <w:tc>
          <w:tcPr>
            <w:tcW w:w="2265" w:type="pct"/>
            <w:vAlign w:val="center"/>
          </w:tcPr>
          <w:p>
            <w:pPr>
              <w:widowControl/>
              <w:rPr>
                <w:bCs/>
                <w:kern w:val="0"/>
                <w:sz w:val="22"/>
                <w:szCs w:val="22"/>
              </w:rPr>
            </w:pPr>
            <w:r>
              <w:rPr>
                <w:bCs/>
                <w:kern w:val="0"/>
                <w:sz w:val="22"/>
                <w:szCs w:val="22"/>
              </w:rPr>
              <w:t>（1）知信行理论</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（2）健康信念模式</w:t>
            </w:r>
          </w:p>
        </w:tc>
        <w:tc>
          <w:tcPr>
            <w:tcW w:w="543" w:type="pct"/>
          </w:tcPr>
          <w:p>
            <w:pPr>
              <w:widowControl/>
              <w:jc w:val="center"/>
              <w:rPr>
                <w:bCs/>
                <w:kern w:val="0"/>
                <w:sz w:val="22"/>
                <w:szCs w:val="22"/>
              </w:rPr>
            </w:pPr>
            <w:r>
              <w:rPr>
                <w:bCs/>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（3）行为改变阶段理论</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restart"/>
            <w:vAlign w:val="center"/>
          </w:tcPr>
          <w:p>
            <w:pPr>
              <w:widowControl/>
              <w:rPr>
                <w:bCs/>
                <w:kern w:val="0"/>
                <w:sz w:val="22"/>
                <w:szCs w:val="22"/>
              </w:rPr>
            </w:pPr>
            <w:r>
              <w:rPr>
                <w:bCs/>
                <w:kern w:val="0"/>
                <w:sz w:val="22"/>
                <w:szCs w:val="22"/>
              </w:rPr>
              <w:t>三、健康传播</w:t>
            </w:r>
          </w:p>
        </w:tc>
        <w:tc>
          <w:tcPr>
            <w:tcW w:w="1254" w:type="pct"/>
            <w:vMerge w:val="restart"/>
            <w:vAlign w:val="center"/>
          </w:tcPr>
          <w:p>
            <w:pPr>
              <w:widowControl/>
              <w:rPr>
                <w:bCs/>
                <w:kern w:val="0"/>
                <w:sz w:val="22"/>
                <w:szCs w:val="22"/>
              </w:rPr>
            </w:pPr>
            <w:r>
              <w:rPr>
                <w:bCs/>
                <w:kern w:val="0"/>
                <w:sz w:val="22"/>
                <w:szCs w:val="22"/>
              </w:rPr>
              <w:t>1．健康传播概述</w:t>
            </w:r>
          </w:p>
        </w:tc>
        <w:tc>
          <w:tcPr>
            <w:tcW w:w="2265" w:type="pct"/>
            <w:vAlign w:val="center"/>
          </w:tcPr>
          <w:p>
            <w:pPr>
              <w:widowControl/>
              <w:rPr>
                <w:bCs/>
                <w:kern w:val="0"/>
                <w:sz w:val="22"/>
                <w:szCs w:val="22"/>
              </w:rPr>
            </w:pPr>
            <w:r>
              <w:rPr>
                <w:bCs/>
                <w:kern w:val="0"/>
                <w:sz w:val="22"/>
                <w:szCs w:val="22"/>
              </w:rPr>
              <w:t>（1）传播与健康传播的概念</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（2）传播要素</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（3）传播模式</w:t>
            </w:r>
          </w:p>
        </w:tc>
        <w:tc>
          <w:tcPr>
            <w:tcW w:w="543" w:type="pct"/>
          </w:tcPr>
          <w:p>
            <w:pPr>
              <w:widowControl/>
              <w:jc w:val="center"/>
              <w:rPr>
                <w:bCs/>
                <w:kern w:val="0"/>
                <w:sz w:val="22"/>
                <w:szCs w:val="22"/>
              </w:rPr>
            </w:pPr>
            <w:r>
              <w:rPr>
                <w:bCs/>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（4）传播分类</w:t>
            </w:r>
          </w:p>
        </w:tc>
        <w:tc>
          <w:tcPr>
            <w:tcW w:w="543" w:type="pct"/>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2．人际传播</w:t>
            </w:r>
          </w:p>
        </w:tc>
        <w:tc>
          <w:tcPr>
            <w:tcW w:w="2265" w:type="pct"/>
            <w:vAlign w:val="center"/>
          </w:tcPr>
          <w:p>
            <w:pPr>
              <w:widowControl/>
              <w:rPr>
                <w:bCs/>
                <w:kern w:val="0"/>
                <w:sz w:val="22"/>
                <w:szCs w:val="22"/>
              </w:rPr>
            </w:pPr>
            <w:r>
              <w:rPr>
                <w:bCs/>
                <w:kern w:val="0"/>
                <w:sz w:val="22"/>
                <w:szCs w:val="22"/>
              </w:rPr>
              <w:t>（1）概念与特点</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（2）健康教育中的人际传播形式</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（3）人际传播的基本沟通技巧</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3．大众传播</w:t>
            </w:r>
          </w:p>
        </w:tc>
        <w:tc>
          <w:tcPr>
            <w:tcW w:w="2265" w:type="pct"/>
            <w:vAlign w:val="center"/>
          </w:tcPr>
          <w:p>
            <w:pPr>
              <w:widowControl/>
              <w:rPr>
                <w:bCs/>
                <w:kern w:val="0"/>
                <w:sz w:val="22"/>
                <w:szCs w:val="22"/>
              </w:rPr>
            </w:pPr>
            <w:r>
              <w:rPr>
                <w:bCs/>
                <w:kern w:val="0"/>
                <w:sz w:val="22"/>
                <w:szCs w:val="22"/>
              </w:rPr>
              <w:t>（1）概念与特点</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（2）传播媒介的选择原则</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4．新媒体</w:t>
            </w:r>
          </w:p>
        </w:tc>
        <w:tc>
          <w:tcPr>
            <w:tcW w:w="2265" w:type="pct"/>
            <w:vAlign w:val="center"/>
          </w:tcPr>
          <w:p>
            <w:pPr>
              <w:widowControl/>
              <w:rPr>
                <w:bCs/>
                <w:kern w:val="0"/>
                <w:sz w:val="22"/>
                <w:szCs w:val="22"/>
              </w:rPr>
            </w:pPr>
            <w:r>
              <w:rPr>
                <w:bCs/>
                <w:kern w:val="0"/>
                <w:sz w:val="22"/>
                <w:szCs w:val="22"/>
              </w:rPr>
              <w:t>（1）概念与特点</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（2）新媒体的常见形式</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5．健康传播效果及其影响因素</w:t>
            </w:r>
          </w:p>
        </w:tc>
        <w:tc>
          <w:tcPr>
            <w:tcW w:w="2265" w:type="pct"/>
            <w:vAlign w:val="center"/>
          </w:tcPr>
          <w:p>
            <w:pPr>
              <w:widowControl/>
              <w:rPr>
                <w:bCs/>
                <w:kern w:val="0"/>
                <w:sz w:val="22"/>
                <w:szCs w:val="22"/>
              </w:rPr>
            </w:pPr>
            <w:r>
              <w:rPr>
                <w:bCs/>
                <w:kern w:val="0"/>
                <w:sz w:val="22"/>
                <w:szCs w:val="22"/>
              </w:rPr>
              <w:t>（1）健康传播效果</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（2）影响健康传播效果因素</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938" w:type="pct"/>
            <w:vMerge w:val="restart"/>
            <w:vAlign w:val="center"/>
          </w:tcPr>
          <w:p>
            <w:pPr>
              <w:widowControl/>
              <w:rPr>
                <w:bCs/>
                <w:kern w:val="0"/>
                <w:sz w:val="22"/>
                <w:szCs w:val="22"/>
              </w:rPr>
            </w:pPr>
            <w:r>
              <w:rPr>
                <w:bCs/>
                <w:kern w:val="0"/>
                <w:sz w:val="22"/>
                <w:szCs w:val="22"/>
              </w:rPr>
              <w:t>四、健康教育与健康促进的计划设计</w:t>
            </w:r>
          </w:p>
        </w:tc>
        <w:tc>
          <w:tcPr>
            <w:tcW w:w="1254" w:type="pct"/>
            <w:vMerge w:val="restart"/>
            <w:vAlign w:val="center"/>
          </w:tcPr>
          <w:p>
            <w:pPr>
              <w:widowControl/>
              <w:rPr>
                <w:bCs/>
                <w:kern w:val="0"/>
                <w:sz w:val="22"/>
                <w:szCs w:val="22"/>
              </w:rPr>
            </w:pPr>
            <w:r>
              <w:rPr>
                <w:bCs/>
                <w:kern w:val="0"/>
                <w:sz w:val="22"/>
                <w:szCs w:val="22"/>
              </w:rPr>
              <w:t>1．概述</w:t>
            </w:r>
          </w:p>
        </w:tc>
        <w:tc>
          <w:tcPr>
            <w:tcW w:w="2265" w:type="pct"/>
            <w:vAlign w:val="center"/>
          </w:tcPr>
          <w:p>
            <w:pPr>
              <w:widowControl/>
              <w:rPr>
                <w:bCs/>
                <w:kern w:val="0"/>
                <w:sz w:val="22"/>
                <w:szCs w:val="22"/>
              </w:rPr>
            </w:pPr>
            <w:r>
              <w:rPr>
                <w:bCs/>
                <w:kern w:val="0"/>
                <w:sz w:val="22"/>
                <w:szCs w:val="22"/>
              </w:rPr>
              <w:t>（1）计划设计的概念</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（2）计划设计的原则</w:t>
            </w:r>
          </w:p>
        </w:tc>
        <w:tc>
          <w:tcPr>
            <w:tcW w:w="543" w:type="pct"/>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（3）计划设计的一般程序</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2．健康教育诊断</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（2）社会诊断</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（3）流行病学诊断</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（4）行为与环境诊断</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（5）教育诊断</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（6）管理与政策诊断</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3．确定计划目标</w:t>
            </w:r>
          </w:p>
        </w:tc>
        <w:tc>
          <w:tcPr>
            <w:tcW w:w="2265" w:type="pct"/>
            <w:vAlign w:val="center"/>
          </w:tcPr>
          <w:p>
            <w:pPr>
              <w:widowControl/>
              <w:rPr>
                <w:bCs/>
                <w:kern w:val="0"/>
                <w:sz w:val="22"/>
                <w:szCs w:val="22"/>
              </w:rPr>
            </w:pPr>
            <w:r>
              <w:rPr>
                <w:bCs/>
                <w:kern w:val="0"/>
                <w:sz w:val="22"/>
                <w:szCs w:val="22"/>
              </w:rPr>
              <w:t>（1）总体目标</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（2）具体目标</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4．确定干预框架</w:t>
            </w:r>
          </w:p>
        </w:tc>
        <w:tc>
          <w:tcPr>
            <w:tcW w:w="2265" w:type="pct"/>
            <w:vAlign w:val="center"/>
          </w:tcPr>
          <w:p>
            <w:pPr>
              <w:widowControl/>
              <w:rPr>
                <w:bCs/>
                <w:kern w:val="0"/>
                <w:sz w:val="22"/>
                <w:szCs w:val="22"/>
              </w:rPr>
            </w:pPr>
            <w:r>
              <w:rPr>
                <w:bCs/>
                <w:kern w:val="0"/>
                <w:sz w:val="22"/>
                <w:szCs w:val="22"/>
              </w:rPr>
              <w:t>（1）确定目标人群</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（2）确定干预策略</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tcBorders>
              <w:bottom w:val="single" w:color="auto" w:sz="4" w:space="0"/>
            </w:tcBorders>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（3）确定干预场所</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938" w:type="pct"/>
            <w:vMerge w:val="restart"/>
            <w:vAlign w:val="center"/>
          </w:tcPr>
          <w:p>
            <w:pPr>
              <w:widowControl/>
              <w:rPr>
                <w:bCs/>
                <w:kern w:val="0"/>
                <w:sz w:val="22"/>
                <w:szCs w:val="22"/>
              </w:rPr>
            </w:pPr>
            <w:r>
              <w:rPr>
                <w:bCs/>
                <w:kern w:val="0"/>
                <w:sz w:val="22"/>
                <w:szCs w:val="22"/>
              </w:rPr>
              <w:t>五、健康教育与健康促进计划的实施</w:t>
            </w:r>
          </w:p>
        </w:tc>
        <w:tc>
          <w:tcPr>
            <w:tcW w:w="1254" w:type="pct"/>
            <w:vMerge w:val="restart"/>
            <w:vAlign w:val="center"/>
          </w:tcPr>
          <w:p>
            <w:pPr>
              <w:widowControl/>
              <w:tabs>
                <w:tab w:val="right" w:pos="2335"/>
              </w:tabs>
              <w:rPr>
                <w:bCs/>
                <w:kern w:val="0"/>
                <w:sz w:val="22"/>
                <w:szCs w:val="22"/>
              </w:rPr>
            </w:pPr>
            <w:r>
              <w:rPr>
                <w:bCs/>
                <w:kern w:val="0"/>
                <w:sz w:val="22"/>
                <w:szCs w:val="22"/>
              </w:rPr>
              <w:t>1．人员培训</w:t>
            </w:r>
          </w:p>
        </w:tc>
        <w:tc>
          <w:tcPr>
            <w:tcW w:w="2265" w:type="pct"/>
            <w:vAlign w:val="center"/>
          </w:tcPr>
          <w:p>
            <w:pPr>
              <w:widowControl/>
              <w:rPr>
                <w:bCs/>
                <w:kern w:val="0"/>
                <w:sz w:val="22"/>
                <w:szCs w:val="22"/>
              </w:rPr>
            </w:pPr>
            <w:r>
              <w:rPr>
                <w:bCs/>
                <w:kern w:val="0"/>
                <w:sz w:val="22"/>
                <w:szCs w:val="22"/>
              </w:rPr>
              <w:t>（1）人员培训的重要性及原则</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（2）培训的准备和实施</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tcBorders>
              <w:bottom w:val="single" w:color="auto" w:sz="4" w:space="0"/>
            </w:tcBorders>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（3）培训工作的评价</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2．健康教育材料的应用</w:t>
            </w:r>
          </w:p>
        </w:tc>
        <w:tc>
          <w:tcPr>
            <w:tcW w:w="2265" w:type="pct"/>
            <w:vAlign w:val="center"/>
          </w:tcPr>
          <w:p>
            <w:pPr>
              <w:widowControl/>
              <w:rPr>
                <w:bCs/>
                <w:kern w:val="0"/>
                <w:sz w:val="22"/>
                <w:szCs w:val="22"/>
              </w:rPr>
            </w:pPr>
            <w:r>
              <w:rPr>
                <w:bCs/>
                <w:kern w:val="0"/>
                <w:sz w:val="22"/>
                <w:szCs w:val="22"/>
              </w:rPr>
              <w:t>（1）常用材料种类</w:t>
            </w:r>
          </w:p>
        </w:tc>
        <w:tc>
          <w:tcPr>
            <w:tcW w:w="543" w:type="pct"/>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（2）材料的应用</w:t>
            </w:r>
          </w:p>
        </w:tc>
        <w:tc>
          <w:tcPr>
            <w:tcW w:w="543" w:type="pct"/>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3．计划实施的过程评价</w:t>
            </w:r>
          </w:p>
        </w:tc>
        <w:tc>
          <w:tcPr>
            <w:tcW w:w="2265" w:type="pct"/>
            <w:vAlign w:val="center"/>
          </w:tcPr>
          <w:p>
            <w:pPr>
              <w:widowControl/>
              <w:rPr>
                <w:bCs/>
                <w:kern w:val="0"/>
                <w:sz w:val="22"/>
                <w:szCs w:val="22"/>
              </w:rPr>
            </w:pPr>
            <w:r>
              <w:rPr>
                <w:bCs/>
                <w:kern w:val="0"/>
                <w:sz w:val="22"/>
                <w:szCs w:val="22"/>
              </w:rPr>
              <w:t>（1）过程评价概述</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（2）内容</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38" w:type="pct"/>
            <w:vMerge w:val="restart"/>
            <w:vAlign w:val="center"/>
          </w:tcPr>
          <w:p>
            <w:pPr>
              <w:widowControl/>
              <w:rPr>
                <w:bCs/>
                <w:kern w:val="0"/>
                <w:sz w:val="22"/>
                <w:szCs w:val="22"/>
              </w:rPr>
            </w:pPr>
            <w:r>
              <w:rPr>
                <w:bCs/>
                <w:kern w:val="0"/>
                <w:sz w:val="22"/>
                <w:szCs w:val="22"/>
              </w:rPr>
              <w:t>六、健康教育与健康促进效果评价</w:t>
            </w:r>
          </w:p>
        </w:tc>
        <w:tc>
          <w:tcPr>
            <w:tcW w:w="1254" w:type="pct"/>
            <w:vMerge w:val="restart"/>
            <w:vAlign w:val="center"/>
          </w:tcPr>
          <w:p>
            <w:pPr>
              <w:widowControl/>
              <w:rPr>
                <w:bCs/>
                <w:kern w:val="0"/>
                <w:sz w:val="22"/>
                <w:szCs w:val="22"/>
              </w:rPr>
            </w:pPr>
            <w:r>
              <w:rPr>
                <w:bCs/>
                <w:kern w:val="0"/>
                <w:sz w:val="22"/>
                <w:szCs w:val="22"/>
              </w:rPr>
              <w:t>1．概述</w:t>
            </w:r>
          </w:p>
        </w:tc>
        <w:tc>
          <w:tcPr>
            <w:tcW w:w="2265" w:type="pct"/>
            <w:vAlign w:val="center"/>
          </w:tcPr>
          <w:p>
            <w:pPr>
              <w:widowControl/>
              <w:rPr>
                <w:bCs/>
                <w:kern w:val="0"/>
                <w:sz w:val="22"/>
                <w:szCs w:val="22"/>
              </w:rPr>
            </w:pPr>
            <w:r>
              <w:rPr>
                <w:bCs/>
                <w:kern w:val="0"/>
                <w:sz w:val="22"/>
                <w:szCs w:val="22"/>
              </w:rPr>
              <w:t>（1）评价的概念</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（2）评价的意义</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2．效果评价的内容与指标</w:t>
            </w:r>
          </w:p>
        </w:tc>
        <w:tc>
          <w:tcPr>
            <w:tcW w:w="2265" w:type="pct"/>
            <w:vAlign w:val="center"/>
          </w:tcPr>
          <w:p>
            <w:pPr>
              <w:widowControl/>
              <w:rPr>
                <w:bCs/>
                <w:kern w:val="0"/>
                <w:sz w:val="22"/>
                <w:szCs w:val="22"/>
              </w:rPr>
            </w:pPr>
            <w:r>
              <w:rPr>
                <w:bCs/>
                <w:kern w:val="0"/>
                <w:sz w:val="22"/>
                <w:szCs w:val="22"/>
              </w:rPr>
              <w:t>（1）近期效果评价</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（2）中期效果评价</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（3）远期效果评价</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3．评价设计方案</w:t>
            </w:r>
          </w:p>
        </w:tc>
        <w:tc>
          <w:tcPr>
            <w:tcW w:w="2265" w:type="pct"/>
            <w:vAlign w:val="center"/>
          </w:tcPr>
          <w:p>
            <w:pPr>
              <w:widowControl/>
              <w:rPr>
                <w:bCs/>
                <w:kern w:val="0"/>
                <w:sz w:val="22"/>
                <w:szCs w:val="22"/>
              </w:rPr>
            </w:pPr>
            <w:r>
              <w:rPr>
                <w:bCs/>
                <w:kern w:val="0"/>
                <w:sz w:val="22"/>
                <w:szCs w:val="22"/>
              </w:rPr>
              <w:t>（1）不设对照组的前后测试</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（2）设对照组的前后测试</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4．影响效果评价真实性的因素</w:t>
            </w:r>
          </w:p>
        </w:tc>
        <w:tc>
          <w:tcPr>
            <w:tcW w:w="2265" w:type="pct"/>
            <w:vAlign w:val="center"/>
          </w:tcPr>
          <w:p>
            <w:pPr>
              <w:widowControl/>
              <w:rPr>
                <w:bCs/>
                <w:kern w:val="0"/>
                <w:sz w:val="22"/>
                <w:szCs w:val="22"/>
              </w:rPr>
            </w:pPr>
            <w:r>
              <w:rPr>
                <w:bCs/>
                <w:kern w:val="0"/>
                <w:sz w:val="22"/>
                <w:szCs w:val="22"/>
              </w:rPr>
              <w:t>（1）历史性因素</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（2）工作人员与参与者的熟练性</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（3）失访</w:t>
            </w:r>
          </w:p>
        </w:tc>
        <w:tc>
          <w:tcPr>
            <w:tcW w:w="543" w:type="pct"/>
            <w:vAlign w:val="center"/>
          </w:tcPr>
          <w:p>
            <w:pPr>
              <w:widowControl/>
              <w:jc w:val="center"/>
              <w:rPr>
                <w:bCs/>
                <w:kern w:val="0"/>
                <w:sz w:val="22"/>
                <w:szCs w:val="22"/>
              </w:rPr>
            </w:pPr>
            <w:r>
              <w:rPr>
                <w:lang w:eastAsia="zh-Hans"/>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38" w:type="pct"/>
            <w:vMerge w:val="restart"/>
            <w:vAlign w:val="center"/>
          </w:tcPr>
          <w:p>
            <w:pPr>
              <w:widowControl/>
              <w:rPr>
                <w:bCs/>
                <w:kern w:val="0"/>
                <w:sz w:val="22"/>
                <w:szCs w:val="22"/>
              </w:rPr>
            </w:pPr>
            <w:r>
              <w:rPr>
                <w:bCs/>
                <w:kern w:val="0"/>
                <w:sz w:val="22"/>
                <w:szCs w:val="22"/>
              </w:rPr>
              <w:t>七、重要场所的健康教育与健康促进</w:t>
            </w:r>
          </w:p>
        </w:tc>
        <w:tc>
          <w:tcPr>
            <w:tcW w:w="1254" w:type="pct"/>
            <w:vMerge w:val="restart"/>
            <w:vAlign w:val="center"/>
          </w:tcPr>
          <w:p>
            <w:pPr>
              <w:widowControl/>
              <w:rPr>
                <w:bCs/>
                <w:kern w:val="0"/>
                <w:sz w:val="22"/>
                <w:szCs w:val="22"/>
              </w:rPr>
            </w:pPr>
            <w:r>
              <w:rPr>
                <w:bCs/>
                <w:kern w:val="0"/>
                <w:sz w:val="22"/>
                <w:szCs w:val="22"/>
              </w:rPr>
              <w:t>1．社区健康教育与健康促进</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（2）社区健康教育的主要内容</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（3）社区健康教育的方法</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938" w:type="pct"/>
            <w:vMerge w:val="continue"/>
            <w:tcBorders>
              <w:bottom w:val="single" w:color="auto" w:sz="4" w:space="0"/>
            </w:tcBorders>
            <w:vAlign w:val="center"/>
          </w:tcPr>
          <w:p>
            <w:pPr>
              <w:rPr>
                <w:bCs/>
                <w:kern w:val="0"/>
                <w:sz w:val="22"/>
                <w:szCs w:val="22"/>
              </w:rPr>
            </w:pPr>
          </w:p>
        </w:tc>
        <w:tc>
          <w:tcPr>
            <w:tcW w:w="1254" w:type="pct"/>
            <w:vMerge w:val="continue"/>
            <w:tcBorders>
              <w:bottom w:val="single" w:color="auto" w:sz="4" w:space="0"/>
            </w:tcBorders>
            <w:vAlign w:val="center"/>
          </w:tcPr>
          <w:p>
            <w:pPr>
              <w:widowControl/>
              <w:rPr>
                <w:bCs/>
                <w:kern w:val="0"/>
                <w:sz w:val="22"/>
                <w:szCs w:val="22"/>
              </w:rPr>
            </w:pPr>
          </w:p>
        </w:tc>
        <w:tc>
          <w:tcPr>
            <w:tcW w:w="2265" w:type="pct"/>
            <w:tcBorders>
              <w:bottom w:val="single" w:color="auto" w:sz="4" w:space="0"/>
            </w:tcBorders>
            <w:vAlign w:val="center"/>
          </w:tcPr>
          <w:p>
            <w:pPr>
              <w:widowControl/>
              <w:rPr>
                <w:bCs/>
                <w:kern w:val="0"/>
                <w:sz w:val="22"/>
                <w:szCs w:val="22"/>
              </w:rPr>
            </w:pPr>
            <w:r>
              <w:rPr>
                <w:bCs/>
                <w:kern w:val="0"/>
                <w:sz w:val="22"/>
                <w:szCs w:val="22"/>
              </w:rPr>
              <w:t>（4）特殊人群健康教育（孕产妇、儿童、老人）</w:t>
            </w:r>
          </w:p>
        </w:tc>
        <w:tc>
          <w:tcPr>
            <w:tcW w:w="543" w:type="pct"/>
            <w:tcBorders>
              <w:bottom w:val="single" w:color="auto" w:sz="4" w:space="0"/>
            </w:tcBorders>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2．学校健康教育与健康促进</w:t>
            </w:r>
          </w:p>
        </w:tc>
        <w:tc>
          <w:tcPr>
            <w:tcW w:w="2265" w:type="pct"/>
            <w:vAlign w:val="center"/>
          </w:tcPr>
          <w:p>
            <w:pPr>
              <w:widowControl/>
              <w:rPr>
                <w:bCs/>
                <w:kern w:val="0"/>
                <w:sz w:val="22"/>
                <w:szCs w:val="22"/>
              </w:rPr>
            </w:pPr>
            <w:r>
              <w:rPr>
                <w:bCs/>
                <w:kern w:val="0"/>
                <w:sz w:val="22"/>
                <w:szCs w:val="22"/>
              </w:rPr>
              <w:t>（1）概念与特征</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rPr>
                <w:bCs/>
                <w:kern w:val="0"/>
                <w:sz w:val="22"/>
                <w:szCs w:val="22"/>
              </w:rPr>
            </w:pPr>
          </w:p>
        </w:tc>
        <w:tc>
          <w:tcPr>
            <w:tcW w:w="2265" w:type="pct"/>
            <w:vAlign w:val="center"/>
          </w:tcPr>
          <w:p>
            <w:pPr>
              <w:widowControl/>
              <w:rPr>
                <w:bCs/>
                <w:kern w:val="0"/>
                <w:sz w:val="22"/>
                <w:szCs w:val="22"/>
              </w:rPr>
            </w:pPr>
            <w:r>
              <w:rPr>
                <w:bCs/>
                <w:kern w:val="0"/>
                <w:sz w:val="22"/>
                <w:szCs w:val="22"/>
              </w:rPr>
              <w:t>（2）健康促进学校的实施内容</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（3）健康促进学校的效果评价</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3．工作场所健康教育与健康促进</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（2）健康教育内容</w:t>
            </w:r>
          </w:p>
        </w:tc>
        <w:tc>
          <w:tcPr>
            <w:tcW w:w="543" w:type="pct"/>
            <w:vAlign w:val="center"/>
          </w:tcPr>
          <w:p>
            <w:pPr>
              <w:widowControl/>
              <w:jc w:val="center"/>
              <w:rPr>
                <w:bCs/>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4．医院健康教育与健康促进</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widowControl/>
              <w:jc w:val="center"/>
              <w:rPr>
                <w:bCs/>
                <w:kern w:val="0"/>
                <w:sz w:val="22"/>
                <w:szCs w:val="22"/>
              </w:rPr>
            </w:pPr>
            <w: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（2）主要形式与内容</w:t>
            </w:r>
          </w:p>
        </w:tc>
        <w:tc>
          <w:tcPr>
            <w:tcW w:w="543" w:type="pct"/>
            <w:vAlign w:val="center"/>
          </w:tcPr>
          <w:p>
            <w:pPr>
              <w:widowControl/>
              <w:jc w:val="center"/>
              <w:rPr>
                <w:bCs/>
                <w:kern w:val="0"/>
                <w:sz w:val="22"/>
                <w:szCs w:val="22"/>
              </w:rPr>
            </w:pPr>
            <w: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38" w:type="pct"/>
            <w:vMerge w:val="restart"/>
            <w:vAlign w:val="center"/>
          </w:tcPr>
          <w:p>
            <w:pPr>
              <w:widowControl/>
              <w:rPr>
                <w:bCs/>
                <w:kern w:val="0"/>
                <w:sz w:val="22"/>
                <w:szCs w:val="22"/>
              </w:rPr>
            </w:pPr>
            <w:r>
              <w:rPr>
                <w:bCs/>
                <w:kern w:val="0"/>
                <w:sz w:val="22"/>
                <w:szCs w:val="22"/>
              </w:rPr>
              <w:t>八、重点公共卫生问题的健康教育与健康促进</w:t>
            </w:r>
          </w:p>
        </w:tc>
        <w:tc>
          <w:tcPr>
            <w:tcW w:w="1254" w:type="pct"/>
            <w:vMerge w:val="restart"/>
            <w:vAlign w:val="center"/>
          </w:tcPr>
          <w:p>
            <w:pPr>
              <w:widowControl/>
              <w:jc w:val="left"/>
              <w:rPr>
                <w:bCs/>
                <w:kern w:val="0"/>
                <w:sz w:val="22"/>
                <w:szCs w:val="22"/>
              </w:rPr>
            </w:pPr>
            <w:r>
              <w:rPr>
                <w:bCs/>
                <w:kern w:val="0"/>
                <w:sz w:val="22"/>
                <w:szCs w:val="22"/>
              </w:rPr>
              <w:t>1．生活方式</w:t>
            </w:r>
          </w:p>
        </w:tc>
        <w:tc>
          <w:tcPr>
            <w:tcW w:w="2265" w:type="pct"/>
            <w:vAlign w:val="center"/>
          </w:tcPr>
          <w:p>
            <w:pPr>
              <w:widowControl/>
              <w:rPr>
                <w:bCs/>
                <w:kern w:val="0"/>
                <w:sz w:val="22"/>
                <w:szCs w:val="22"/>
              </w:rPr>
            </w:pPr>
            <w:r>
              <w:rPr>
                <w:bCs/>
                <w:kern w:val="0"/>
                <w:sz w:val="22"/>
                <w:szCs w:val="22"/>
              </w:rPr>
              <w:t>（1）膳食</w:t>
            </w:r>
          </w:p>
        </w:tc>
        <w:tc>
          <w:tcPr>
            <w:tcW w:w="543" w:type="pct"/>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jc w:val="center"/>
              <w:rPr>
                <w:bCs/>
                <w:kern w:val="0"/>
                <w:sz w:val="22"/>
                <w:szCs w:val="22"/>
              </w:rPr>
            </w:pPr>
          </w:p>
        </w:tc>
        <w:tc>
          <w:tcPr>
            <w:tcW w:w="2265" w:type="pct"/>
            <w:vAlign w:val="center"/>
          </w:tcPr>
          <w:p>
            <w:pPr>
              <w:widowControl/>
              <w:rPr>
                <w:bCs/>
                <w:kern w:val="0"/>
                <w:sz w:val="22"/>
                <w:szCs w:val="22"/>
              </w:rPr>
            </w:pPr>
            <w:r>
              <w:rPr>
                <w:bCs/>
                <w:kern w:val="0"/>
                <w:sz w:val="22"/>
                <w:szCs w:val="22"/>
              </w:rPr>
              <w:t>（2）运动</w:t>
            </w:r>
          </w:p>
        </w:tc>
        <w:tc>
          <w:tcPr>
            <w:tcW w:w="543" w:type="pct"/>
          </w:tcPr>
          <w:p>
            <w:pPr>
              <w:widowControl/>
              <w:jc w:val="center"/>
              <w:rPr>
                <w:bCs/>
                <w:kern w:val="0"/>
                <w:sz w:val="22"/>
                <w:szCs w:val="22"/>
              </w:rPr>
            </w:pPr>
            <w:r>
              <w:rPr>
                <w:bCs/>
                <w:kern w:val="0"/>
                <w:sz w:val="22"/>
                <w:szCs w:val="22"/>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（3）吸烟与饮酒</w:t>
            </w:r>
          </w:p>
        </w:tc>
        <w:tc>
          <w:tcPr>
            <w:tcW w:w="543" w:type="pct"/>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（4）心理健康</w:t>
            </w:r>
          </w:p>
        </w:tc>
        <w:tc>
          <w:tcPr>
            <w:tcW w:w="543" w:type="pct"/>
          </w:tcPr>
          <w:p>
            <w:pPr>
              <w:widowControl/>
              <w:jc w:val="center"/>
              <w:rPr>
                <w:bCs/>
                <w:kern w:val="0"/>
                <w:sz w:val="22"/>
                <w:szCs w:val="22"/>
              </w:rPr>
            </w:pPr>
            <w:r>
              <w:rPr>
                <w:bCs/>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38" w:type="pct"/>
            <w:vMerge w:val="continue"/>
            <w:vAlign w:val="center"/>
          </w:tcPr>
          <w:p>
            <w:pPr>
              <w:widowControl/>
              <w:rPr>
                <w:bCs/>
                <w:kern w:val="0"/>
                <w:sz w:val="22"/>
                <w:szCs w:val="22"/>
              </w:rPr>
            </w:pPr>
          </w:p>
        </w:tc>
        <w:tc>
          <w:tcPr>
            <w:tcW w:w="1254" w:type="pct"/>
            <w:vMerge w:val="restart"/>
            <w:vAlign w:val="center"/>
          </w:tcPr>
          <w:p>
            <w:pPr>
              <w:widowControl/>
              <w:rPr>
                <w:bCs/>
                <w:kern w:val="0"/>
                <w:sz w:val="22"/>
                <w:szCs w:val="22"/>
              </w:rPr>
            </w:pPr>
            <w:r>
              <w:rPr>
                <w:bCs/>
                <w:kern w:val="0"/>
                <w:sz w:val="22"/>
                <w:szCs w:val="22"/>
              </w:rPr>
              <w:t>2．慢性非传染性疾病</w:t>
            </w:r>
          </w:p>
        </w:tc>
        <w:tc>
          <w:tcPr>
            <w:tcW w:w="2265" w:type="pct"/>
            <w:vAlign w:val="center"/>
          </w:tcPr>
          <w:p>
            <w:pPr>
              <w:widowControl/>
              <w:rPr>
                <w:bCs/>
                <w:kern w:val="0"/>
                <w:sz w:val="22"/>
                <w:szCs w:val="22"/>
              </w:rPr>
            </w:pPr>
            <w:r>
              <w:rPr>
                <w:bCs/>
                <w:kern w:val="0"/>
                <w:sz w:val="22"/>
                <w:szCs w:val="22"/>
              </w:rPr>
              <w:t>（1）高血压</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（2）糖尿病</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（3）恶性肿瘤</w:t>
            </w:r>
          </w:p>
        </w:tc>
        <w:tc>
          <w:tcPr>
            <w:tcW w:w="543" w:type="pct"/>
          </w:tcPr>
          <w:p>
            <w:pPr>
              <w:widowControl/>
              <w:jc w:val="center"/>
              <w:rPr>
                <w:bCs/>
                <w:kern w:val="0"/>
                <w:sz w:val="22"/>
                <w:szCs w:val="22"/>
              </w:rPr>
            </w:pPr>
            <w:r>
              <w:rPr>
                <w:bCs/>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3．传染病</w:t>
            </w:r>
          </w:p>
        </w:tc>
        <w:tc>
          <w:tcPr>
            <w:tcW w:w="2265" w:type="pct"/>
            <w:vAlign w:val="center"/>
          </w:tcPr>
          <w:p>
            <w:pPr>
              <w:widowControl/>
              <w:rPr>
                <w:bCs/>
                <w:kern w:val="0"/>
                <w:sz w:val="22"/>
                <w:szCs w:val="22"/>
              </w:rPr>
            </w:pPr>
            <w:r>
              <w:rPr>
                <w:bCs/>
                <w:kern w:val="0"/>
                <w:sz w:val="22"/>
                <w:szCs w:val="22"/>
              </w:rPr>
              <w:t>（1）艾滋病</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（2）结核病</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（3）病毒性肝炎</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4．意外伤害</w:t>
            </w:r>
          </w:p>
        </w:tc>
        <w:tc>
          <w:tcPr>
            <w:tcW w:w="2265" w:type="pct"/>
            <w:vAlign w:val="center"/>
          </w:tcPr>
          <w:p>
            <w:pPr>
              <w:widowControl/>
              <w:rPr>
                <w:bCs/>
                <w:kern w:val="0"/>
                <w:sz w:val="22"/>
                <w:szCs w:val="22"/>
              </w:rPr>
            </w:pPr>
            <w:r>
              <w:rPr>
                <w:bCs/>
                <w:kern w:val="0"/>
                <w:sz w:val="22"/>
                <w:szCs w:val="22"/>
              </w:rPr>
              <w:t>（1）交通意外伤害</w:t>
            </w:r>
          </w:p>
        </w:tc>
        <w:tc>
          <w:tcPr>
            <w:tcW w:w="543" w:type="pct"/>
            <w:vAlign w:val="center"/>
          </w:tcPr>
          <w:p>
            <w:pPr>
              <w:widowControl/>
              <w:jc w:val="center"/>
              <w:rPr>
                <w:bCs/>
                <w:kern w:val="0"/>
                <w:sz w:val="22"/>
                <w:szCs w:val="22"/>
              </w:rPr>
            </w:pPr>
            <w:r>
              <w:rPr>
                <w:lang w:eastAsia="zh-Hans"/>
              </w:rPr>
              <w:t>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（2）老年跌倒</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（3）溺水</w:t>
            </w:r>
          </w:p>
        </w:tc>
        <w:tc>
          <w:tcPr>
            <w:tcW w:w="543" w:type="pct"/>
          </w:tcPr>
          <w:p>
            <w:pPr>
              <w:widowControl/>
              <w:jc w:val="center"/>
              <w:rPr>
                <w:bCs/>
                <w:kern w:val="0"/>
                <w:sz w:val="22"/>
                <w:szCs w:val="22"/>
              </w:rPr>
            </w:pPr>
            <w:r>
              <w:rPr>
                <w:bCs/>
                <w:kern w:val="0"/>
                <w:sz w:val="22"/>
                <w:szCs w:val="22"/>
              </w:rPr>
              <w:t>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restart"/>
            <w:vAlign w:val="center"/>
          </w:tcPr>
          <w:p>
            <w:pPr>
              <w:widowControl/>
              <w:rPr>
                <w:bCs/>
                <w:kern w:val="0"/>
                <w:sz w:val="22"/>
                <w:szCs w:val="22"/>
              </w:rPr>
            </w:pPr>
            <w:r>
              <w:rPr>
                <w:bCs/>
                <w:kern w:val="0"/>
                <w:sz w:val="22"/>
                <w:szCs w:val="22"/>
              </w:rPr>
              <w:t>5．突发公共卫生事件</w:t>
            </w:r>
          </w:p>
        </w:tc>
        <w:tc>
          <w:tcPr>
            <w:tcW w:w="2265" w:type="pct"/>
            <w:vAlign w:val="center"/>
          </w:tcPr>
          <w:p>
            <w:pPr>
              <w:widowControl/>
              <w:rPr>
                <w:bCs/>
                <w:kern w:val="0"/>
                <w:sz w:val="22"/>
                <w:szCs w:val="22"/>
              </w:rPr>
            </w:pPr>
            <w:r>
              <w:rPr>
                <w:bCs/>
                <w:kern w:val="0"/>
                <w:sz w:val="22"/>
                <w:szCs w:val="22"/>
              </w:rPr>
              <w:t>（1）概念</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（2）突发公共卫生事件的特征</w:t>
            </w:r>
          </w:p>
        </w:tc>
        <w:tc>
          <w:tcPr>
            <w:tcW w:w="543" w:type="pct"/>
            <w:vAlign w:val="center"/>
          </w:tcPr>
          <w:p>
            <w:pPr>
              <w:widowControl/>
              <w:jc w:val="center"/>
              <w:rPr>
                <w:bCs/>
                <w:kern w:val="0"/>
                <w:sz w:val="22"/>
                <w:szCs w:val="22"/>
              </w:rPr>
            </w:pPr>
            <w:r>
              <w:rPr>
                <w:lang w:eastAsia="zh-Hans"/>
              </w:rPr>
              <w:t>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938" w:type="pct"/>
            <w:vMerge w:val="continue"/>
            <w:vAlign w:val="center"/>
          </w:tcPr>
          <w:p>
            <w:pPr>
              <w:widowControl/>
              <w:rPr>
                <w:bCs/>
                <w:kern w:val="0"/>
                <w:sz w:val="22"/>
                <w:szCs w:val="22"/>
              </w:rPr>
            </w:pPr>
          </w:p>
        </w:tc>
        <w:tc>
          <w:tcPr>
            <w:tcW w:w="1254" w:type="pct"/>
            <w:vMerge w:val="continue"/>
            <w:vAlign w:val="center"/>
          </w:tcPr>
          <w:p>
            <w:pPr>
              <w:widowControl/>
              <w:rPr>
                <w:bCs/>
                <w:kern w:val="0"/>
                <w:sz w:val="22"/>
                <w:szCs w:val="22"/>
              </w:rPr>
            </w:pPr>
          </w:p>
        </w:tc>
        <w:tc>
          <w:tcPr>
            <w:tcW w:w="2265" w:type="pct"/>
            <w:vAlign w:val="center"/>
          </w:tcPr>
          <w:p>
            <w:pPr>
              <w:widowControl/>
              <w:rPr>
                <w:bCs/>
                <w:kern w:val="0"/>
                <w:sz w:val="22"/>
                <w:szCs w:val="22"/>
              </w:rPr>
            </w:pPr>
            <w:r>
              <w:rPr>
                <w:bCs/>
                <w:kern w:val="0"/>
                <w:sz w:val="22"/>
                <w:szCs w:val="22"/>
              </w:rPr>
              <w:t>（3）健康教育在应对突发公共卫生事件中的作用</w:t>
            </w:r>
          </w:p>
        </w:tc>
        <w:tc>
          <w:tcPr>
            <w:tcW w:w="543" w:type="pct"/>
            <w:vAlign w:val="center"/>
          </w:tcPr>
          <w:p>
            <w:pPr>
              <w:widowControl/>
              <w:jc w:val="center"/>
              <w:rPr>
                <w:bCs/>
                <w:kern w:val="0"/>
                <w:sz w:val="22"/>
                <w:szCs w:val="22"/>
              </w:rPr>
            </w:pPr>
            <w:r>
              <w:rPr>
                <w:lang w:eastAsia="zh-Hans"/>
              </w:rPr>
              <w:t>掌握</w:t>
            </w:r>
          </w:p>
        </w:tc>
      </w:tr>
    </w:tbl>
    <w:p>
      <w:pPr>
        <w:rPr>
          <w:szCs w:val="21"/>
        </w:rPr>
      </w:pPr>
    </w:p>
    <w:p>
      <w:pPr>
        <w:pStyle w:val="76"/>
      </w:pPr>
      <w:bookmarkStart w:id="50" w:name="_Toc144217073"/>
      <w:r>
        <w:rPr>
          <w:rFonts w:hint="eastAsia"/>
        </w:rPr>
        <w:t xml:space="preserve">第五部分 </w:t>
      </w:r>
      <w:r>
        <w:t>实践</w:t>
      </w:r>
      <w:r>
        <w:rPr>
          <w:rFonts w:hint="eastAsia"/>
        </w:rPr>
        <w:t>综合</w:t>
      </w:r>
      <w:bookmarkEnd w:id="50"/>
    </w:p>
    <w:p>
      <w:pPr>
        <w:ind w:firstLine="440" w:firstLineChars="200"/>
        <w:jc w:val="left"/>
        <w:outlineLvl w:val="1"/>
        <w:rPr>
          <w:bCs/>
          <w:kern w:val="0"/>
          <w:sz w:val="22"/>
          <w:szCs w:val="22"/>
        </w:rPr>
      </w:pPr>
      <w:bookmarkStart w:id="51" w:name="_Toc143248231"/>
      <w:r>
        <w:rPr>
          <w:rFonts w:hint="eastAsia"/>
          <w:bCs/>
          <w:kern w:val="0"/>
          <w:sz w:val="22"/>
          <w:szCs w:val="22"/>
        </w:rPr>
        <w:t>主要包括公共卫生执业助理医师综合运用专业理论和知识，规范进行体格检查及急救的能力，对疾病进行防控的技能，面对公共卫生问题进行防控的技能，以及相应实际工作情景下应具备的医学人文素养。</w:t>
      </w:r>
      <w:bookmarkEnd w:id="51"/>
    </w:p>
    <w:p>
      <w:pPr>
        <w:spacing w:line="400" w:lineRule="exact"/>
        <w:jc w:val="left"/>
        <w:rPr>
          <w:sz w:val="18"/>
          <w:szCs w:val="18"/>
        </w:rPr>
      </w:pPr>
    </w:p>
    <w:p>
      <w:pPr>
        <w:pStyle w:val="77"/>
      </w:pPr>
      <w:bookmarkStart w:id="52" w:name="_Toc144217074"/>
      <w:r>
        <w:t>一、临床基本技能</w:t>
      </w:r>
      <w:bookmarkEnd w:id="52"/>
    </w:p>
    <w:p>
      <w:pPr>
        <w:pStyle w:val="30"/>
        <w:ind w:left="0" w:firstLine="481" w:firstLineChars="200"/>
        <w:rPr>
          <w:rFonts w:hAnsi="Times New Roman"/>
        </w:rPr>
      </w:pPr>
      <w:r>
        <w:rPr>
          <w:rFonts w:hAnsi="Times New Roman"/>
        </w:rPr>
        <w:t>（一）体格检查</w:t>
      </w:r>
    </w:p>
    <w:p>
      <w:pPr>
        <w:tabs>
          <w:tab w:val="left" w:pos="720"/>
        </w:tabs>
        <w:spacing w:line="360" w:lineRule="exact"/>
        <w:ind w:firstLine="440" w:firstLineChars="200"/>
        <w:rPr>
          <w:rFonts w:hAnsi="宋体"/>
          <w:sz w:val="22"/>
          <w:szCs w:val="22"/>
        </w:rPr>
      </w:pPr>
      <w:r>
        <w:rPr>
          <w:rFonts w:hAnsi="宋体"/>
          <w:sz w:val="22"/>
          <w:szCs w:val="22"/>
        </w:rPr>
        <w:t>1</w:t>
      </w:r>
      <w:r>
        <w:rPr>
          <w:rFonts w:hint="eastAsia" w:hAnsi="宋体"/>
          <w:sz w:val="22"/>
          <w:szCs w:val="22"/>
        </w:rPr>
        <w:t>．一般检查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）全身状况检查（生命征、发育、体型、营养状态、意识状态、面容、体位、姿势、步态）</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）皮肤检查（颜色、湿度与出汗、弹性、皮疹、出血点和紫癜、蜘蛛痣、毛发、水肿、其他）</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）淋巴结检查（颌下淋巴结、颈部淋巴结、锁骨上窝淋巴结、腋窝淋巴结、滑车上淋巴结、腹股沟淋巴结）</w:t>
      </w:r>
    </w:p>
    <w:p>
      <w:pPr>
        <w:tabs>
          <w:tab w:val="left" w:pos="720"/>
        </w:tabs>
        <w:spacing w:line="360" w:lineRule="exact"/>
        <w:ind w:firstLine="440" w:firstLineChars="200"/>
        <w:rPr>
          <w:rFonts w:hAnsi="宋体"/>
          <w:sz w:val="22"/>
          <w:szCs w:val="22"/>
        </w:rPr>
      </w:pPr>
      <w:r>
        <w:rPr>
          <w:rFonts w:hAnsi="宋体"/>
          <w:sz w:val="22"/>
          <w:szCs w:val="22"/>
        </w:rPr>
        <w:t>2</w:t>
      </w:r>
      <w:r>
        <w:rPr>
          <w:rFonts w:hint="eastAsia" w:hAnsi="宋体"/>
          <w:sz w:val="22"/>
          <w:szCs w:val="22"/>
        </w:rPr>
        <w:t>．头部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）眼（眼眉、眼睑、结膜、巩膜、角膜、瞳孔、眼球）</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）耳（外耳、乳突、听力）</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）鼻（鼻外形、鼻中隔、鼻出血和鼻腔分泌物、鼻窦）</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）口（口唇、黏膜、牙齿、牙龈、舌、咽及扁桃体、口腔异味）</w:t>
      </w:r>
    </w:p>
    <w:p>
      <w:pPr>
        <w:tabs>
          <w:tab w:val="left" w:pos="720"/>
        </w:tabs>
        <w:spacing w:line="360" w:lineRule="exact"/>
        <w:ind w:firstLine="440" w:firstLineChars="200"/>
        <w:rPr>
          <w:rFonts w:hAnsi="宋体"/>
          <w:sz w:val="22"/>
          <w:szCs w:val="22"/>
        </w:rPr>
      </w:pPr>
      <w:r>
        <w:rPr>
          <w:rFonts w:hAnsi="宋体"/>
          <w:sz w:val="22"/>
          <w:szCs w:val="22"/>
        </w:rPr>
        <w:t>3</w:t>
      </w:r>
      <w:r>
        <w:rPr>
          <w:rFonts w:hint="eastAsia" w:hAnsi="宋体"/>
          <w:sz w:val="22"/>
          <w:szCs w:val="22"/>
        </w:rPr>
        <w:t>．颈部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）颈部血管</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）甲状腺</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）气管</w:t>
      </w:r>
    </w:p>
    <w:p>
      <w:pPr>
        <w:tabs>
          <w:tab w:val="left" w:pos="720"/>
        </w:tabs>
        <w:spacing w:line="360" w:lineRule="exact"/>
        <w:ind w:firstLine="440" w:firstLineChars="200"/>
        <w:rPr>
          <w:rFonts w:hAnsi="宋体"/>
          <w:sz w:val="22"/>
          <w:szCs w:val="22"/>
        </w:rPr>
      </w:pPr>
      <w:r>
        <w:rPr>
          <w:rFonts w:hAnsi="宋体"/>
          <w:sz w:val="22"/>
          <w:szCs w:val="22"/>
        </w:rPr>
        <w:t>4</w:t>
      </w:r>
      <w:r>
        <w:rPr>
          <w:rFonts w:hint="eastAsia" w:hAnsi="宋体"/>
          <w:sz w:val="22"/>
          <w:szCs w:val="22"/>
        </w:rPr>
        <w:t>．胸部检查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）胸部视诊（胸部体表标志、胸壁、胸廓、呼吸运动）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）胸部触诊（胸部</w:t>
      </w:r>
      <w:r>
        <w:rPr>
          <w:rFonts w:hAnsi="宋体"/>
          <w:sz w:val="22"/>
          <w:szCs w:val="22"/>
        </w:rPr>
        <w:t>&lt;</w:t>
      </w:r>
      <w:r>
        <w:rPr>
          <w:rFonts w:hint="eastAsia" w:hAnsi="宋体"/>
          <w:sz w:val="22"/>
          <w:szCs w:val="22"/>
        </w:rPr>
        <w:t>廓</w:t>
      </w:r>
      <w:r>
        <w:rPr>
          <w:rFonts w:hAnsi="宋体"/>
          <w:sz w:val="22"/>
          <w:szCs w:val="22"/>
        </w:rPr>
        <w:t>&gt;</w:t>
      </w:r>
      <w:r>
        <w:rPr>
          <w:rFonts w:hint="eastAsia" w:hAnsi="宋体"/>
          <w:sz w:val="22"/>
          <w:szCs w:val="22"/>
        </w:rPr>
        <w:t>扩张度检查、语音震颤、胸膜摩擦感）</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）胸部叩诊（肺界、肺底移动度、对比叩诊、肺界叩诊、肺下界移动度）</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）胸部听诊（正常呼吸音、异常呼吸音、啰音、胸膜摩擦音）</w:t>
      </w:r>
    </w:p>
    <w:p>
      <w:pPr>
        <w:tabs>
          <w:tab w:val="left" w:pos="720"/>
        </w:tabs>
        <w:spacing w:line="360" w:lineRule="exact"/>
        <w:ind w:firstLine="440" w:firstLineChars="200"/>
        <w:rPr>
          <w:rFonts w:hAnsi="宋体"/>
          <w:sz w:val="22"/>
          <w:szCs w:val="22"/>
        </w:rPr>
      </w:pPr>
      <w:r>
        <w:rPr>
          <w:rFonts w:hAnsi="宋体"/>
          <w:sz w:val="22"/>
          <w:szCs w:val="22"/>
        </w:rPr>
        <w:t>5</w:t>
      </w:r>
      <w:r>
        <w:rPr>
          <w:rFonts w:hint="eastAsia" w:hAnsi="宋体"/>
          <w:sz w:val="22"/>
          <w:szCs w:val="22"/>
        </w:rPr>
        <w:t>．心脏检查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）心脏视诊（心前区隆起与凹陷、心尖搏动、心前区异常搏动）</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）心脏触诊（心尖搏动、心前区震颤、心包摩擦感）</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）心脏叩诊（心界）</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）心脏听诊（心脏瓣膜听诊区、听诊顺序、听诊内容）</w:t>
      </w:r>
    </w:p>
    <w:p>
      <w:pPr>
        <w:tabs>
          <w:tab w:val="left" w:pos="720"/>
        </w:tabs>
        <w:spacing w:line="360" w:lineRule="exact"/>
        <w:ind w:firstLine="440" w:firstLineChars="200"/>
        <w:rPr>
          <w:rFonts w:hAnsi="宋体"/>
          <w:sz w:val="22"/>
          <w:szCs w:val="22"/>
        </w:rPr>
      </w:pPr>
      <w:r>
        <w:rPr>
          <w:rFonts w:hAnsi="宋体"/>
          <w:sz w:val="22"/>
          <w:szCs w:val="22"/>
        </w:rPr>
        <w:t>6</w:t>
      </w:r>
      <w:r>
        <w:rPr>
          <w:rFonts w:hint="eastAsia" w:hAnsi="宋体"/>
          <w:sz w:val="22"/>
          <w:szCs w:val="22"/>
        </w:rPr>
        <w:t>．腹部检查</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）腹部视诊（腹部的体表标志及分区、视诊主要内容）</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）腹部触诊（肝脏、脾脏、压痛及反跳痛、腹部包块）</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）腹部叩诊（腹部叩诊手法和叩诊音、肝浊音界叩诊、移动性浊音、脾脏叩诊、肾区、膀胱叩诊）</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4</w:t>
      </w:r>
      <w:r>
        <w:rPr>
          <w:rFonts w:hint="eastAsia" w:hAnsi="宋体"/>
          <w:sz w:val="22"/>
          <w:szCs w:val="22"/>
        </w:rPr>
        <w:t>）腹部听诊（肠鸣音、血管杂音）</w:t>
      </w:r>
    </w:p>
    <w:p>
      <w:pPr>
        <w:tabs>
          <w:tab w:val="left" w:pos="720"/>
        </w:tabs>
        <w:spacing w:line="360" w:lineRule="exact"/>
        <w:ind w:firstLine="440" w:firstLineChars="200"/>
        <w:rPr>
          <w:rFonts w:hAnsi="宋体"/>
          <w:sz w:val="22"/>
          <w:szCs w:val="22"/>
        </w:rPr>
      </w:pPr>
      <w:r>
        <w:rPr>
          <w:rFonts w:hAnsi="宋体"/>
          <w:sz w:val="22"/>
          <w:szCs w:val="22"/>
        </w:rPr>
        <w:t>7</w:t>
      </w:r>
      <w:r>
        <w:rPr>
          <w:rFonts w:hint="eastAsia" w:hAnsi="宋体"/>
          <w:sz w:val="22"/>
          <w:szCs w:val="22"/>
        </w:rPr>
        <w:t>．神经系统</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1</w:t>
      </w:r>
      <w:r>
        <w:rPr>
          <w:rFonts w:hint="eastAsia" w:hAnsi="宋体"/>
          <w:sz w:val="22"/>
          <w:szCs w:val="22"/>
        </w:rPr>
        <w:t>）神经反射（膝反射、跟腱反射、肱二头肌反射、腹壁反射）</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2</w:t>
      </w:r>
      <w:r>
        <w:rPr>
          <w:rFonts w:hint="eastAsia" w:hAnsi="宋体"/>
          <w:sz w:val="22"/>
          <w:szCs w:val="22"/>
        </w:rPr>
        <w:t>）病理反射（</w:t>
      </w:r>
      <w:r>
        <w:rPr>
          <w:rFonts w:hAnsi="宋体"/>
          <w:sz w:val="22"/>
          <w:szCs w:val="22"/>
        </w:rPr>
        <w:t>Babinski</w:t>
      </w:r>
      <w:r>
        <w:rPr>
          <w:rFonts w:hint="eastAsia" w:hAnsi="宋体"/>
          <w:sz w:val="22"/>
          <w:szCs w:val="22"/>
        </w:rPr>
        <w:t>征）</w:t>
      </w:r>
    </w:p>
    <w:p>
      <w:pPr>
        <w:tabs>
          <w:tab w:val="left" w:pos="720"/>
        </w:tabs>
        <w:spacing w:line="360" w:lineRule="exact"/>
        <w:ind w:firstLine="440" w:firstLineChars="200"/>
        <w:rPr>
          <w:rFonts w:hAnsi="宋体"/>
          <w:sz w:val="22"/>
          <w:szCs w:val="22"/>
        </w:rPr>
      </w:pPr>
      <w:r>
        <w:rPr>
          <w:rFonts w:hint="eastAsia" w:hAnsi="宋体"/>
          <w:sz w:val="22"/>
          <w:szCs w:val="22"/>
        </w:rPr>
        <w:t>（</w:t>
      </w:r>
      <w:r>
        <w:rPr>
          <w:rFonts w:hAnsi="宋体"/>
          <w:sz w:val="22"/>
          <w:szCs w:val="22"/>
        </w:rPr>
        <w:t>3</w:t>
      </w:r>
      <w:r>
        <w:rPr>
          <w:rFonts w:hint="eastAsia" w:hAnsi="宋体"/>
          <w:sz w:val="22"/>
          <w:szCs w:val="22"/>
        </w:rPr>
        <w:t>）脑膜刺激征（颈强直、</w:t>
      </w:r>
      <w:r>
        <w:rPr>
          <w:rFonts w:hAnsi="宋体"/>
          <w:sz w:val="22"/>
          <w:szCs w:val="22"/>
        </w:rPr>
        <w:t>Kernig</w:t>
      </w:r>
      <w:r>
        <w:rPr>
          <w:rFonts w:hint="eastAsia" w:hAnsi="宋体"/>
          <w:sz w:val="22"/>
          <w:szCs w:val="22"/>
        </w:rPr>
        <w:t>征、</w:t>
      </w:r>
      <w:r>
        <w:rPr>
          <w:rFonts w:hAnsi="宋体"/>
          <w:sz w:val="22"/>
          <w:szCs w:val="22"/>
        </w:rPr>
        <w:t>Brudzinski</w:t>
      </w:r>
      <w:r>
        <w:rPr>
          <w:rFonts w:hint="eastAsia" w:hAnsi="宋体"/>
          <w:sz w:val="22"/>
          <w:szCs w:val="22"/>
        </w:rPr>
        <w:t>征）</w:t>
      </w:r>
    </w:p>
    <w:p>
      <w:pPr>
        <w:pStyle w:val="30"/>
        <w:ind w:left="0" w:firstLine="481" w:firstLineChars="200"/>
        <w:rPr>
          <w:rFonts w:hAnsi="Times New Roman"/>
        </w:rPr>
      </w:pPr>
      <w:r>
        <w:rPr>
          <w:rFonts w:hAnsi="Times New Roman"/>
        </w:rPr>
        <w:t>（二）急救技能</w:t>
      </w:r>
    </w:p>
    <w:p>
      <w:pPr>
        <w:tabs>
          <w:tab w:val="left" w:pos="720"/>
        </w:tabs>
        <w:spacing w:line="360" w:lineRule="exact"/>
        <w:ind w:firstLine="440" w:firstLineChars="200"/>
        <w:rPr>
          <w:rFonts w:hAnsi="宋体"/>
          <w:sz w:val="22"/>
          <w:szCs w:val="22"/>
        </w:rPr>
      </w:pPr>
      <w:r>
        <w:rPr>
          <w:rFonts w:hint="eastAsia" w:hAnsi="宋体"/>
          <w:sz w:val="22"/>
          <w:szCs w:val="22"/>
        </w:rPr>
        <w:t>1．心肺复苏（胸外心脏按压、人工呼吸、AED）</w:t>
      </w:r>
    </w:p>
    <w:p>
      <w:pPr>
        <w:tabs>
          <w:tab w:val="left" w:pos="720"/>
        </w:tabs>
        <w:spacing w:line="360" w:lineRule="exact"/>
        <w:ind w:firstLine="440" w:firstLineChars="200"/>
        <w:rPr>
          <w:rFonts w:hAnsi="宋体"/>
          <w:sz w:val="22"/>
          <w:szCs w:val="22"/>
        </w:rPr>
      </w:pPr>
      <w:r>
        <w:rPr>
          <w:rFonts w:hint="eastAsia" w:hAnsi="宋体"/>
          <w:sz w:val="22"/>
          <w:szCs w:val="22"/>
        </w:rPr>
        <w:t>2．吸氧术（鼻塞法）</w:t>
      </w:r>
    </w:p>
    <w:p>
      <w:pPr>
        <w:tabs>
          <w:tab w:val="left" w:pos="720"/>
        </w:tabs>
        <w:spacing w:line="360" w:lineRule="exact"/>
        <w:ind w:firstLine="440" w:firstLineChars="200"/>
        <w:rPr>
          <w:rFonts w:hAnsi="宋体"/>
          <w:sz w:val="22"/>
          <w:szCs w:val="22"/>
        </w:rPr>
      </w:pPr>
      <w:r>
        <w:rPr>
          <w:rFonts w:hint="eastAsia" w:hAnsi="宋体"/>
          <w:sz w:val="22"/>
          <w:szCs w:val="22"/>
        </w:rPr>
        <w:t>3．三角巾包扎（头部、胸背部、手足）</w:t>
      </w:r>
    </w:p>
    <w:p>
      <w:pPr>
        <w:tabs>
          <w:tab w:val="left" w:pos="720"/>
        </w:tabs>
        <w:spacing w:line="360" w:lineRule="exact"/>
        <w:ind w:firstLine="440" w:firstLineChars="200"/>
        <w:rPr>
          <w:rFonts w:hAnsi="宋体"/>
          <w:sz w:val="22"/>
          <w:szCs w:val="22"/>
        </w:rPr>
      </w:pPr>
      <w:r>
        <w:rPr>
          <w:rFonts w:hint="eastAsia" w:hAnsi="宋体"/>
          <w:sz w:val="22"/>
          <w:szCs w:val="22"/>
        </w:rPr>
        <w:t>4．四肢骨折现场急救外固定</w:t>
      </w:r>
    </w:p>
    <w:p>
      <w:pPr>
        <w:tabs>
          <w:tab w:val="left" w:pos="720"/>
        </w:tabs>
        <w:spacing w:line="360" w:lineRule="exact"/>
        <w:ind w:firstLine="441" w:firstLineChars="200"/>
        <w:rPr>
          <w:b/>
          <w:sz w:val="22"/>
          <w:szCs w:val="22"/>
        </w:rPr>
      </w:pPr>
    </w:p>
    <w:p>
      <w:pPr>
        <w:pStyle w:val="77"/>
      </w:pPr>
      <w:bookmarkStart w:id="53" w:name="_Toc144217075"/>
      <w:r>
        <w:t>二、疾病防控基本技能</w:t>
      </w:r>
      <w:bookmarkEnd w:id="53"/>
    </w:p>
    <w:p>
      <w:pPr>
        <w:pStyle w:val="30"/>
        <w:ind w:left="0" w:firstLine="481" w:firstLineChars="200"/>
        <w:rPr>
          <w:rFonts w:hAnsi="Times New Roman"/>
        </w:rPr>
      </w:pPr>
      <w:r>
        <w:rPr>
          <w:rFonts w:hAnsi="Times New Roman"/>
        </w:rPr>
        <w:t>（一）分析技能</w:t>
      </w:r>
    </w:p>
    <w:p>
      <w:pPr>
        <w:tabs>
          <w:tab w:val="left" w:pos="720"/>
        </w:tabs>
        <w:spacing w:line="360" w:lineRule="exact"/>
        <w:ind w:firstLine="440" w:firstLineChars="200"/>
        <w:rPr>
          <w:bCs/>
          <w:sz w:val="22"/>
          <w:szCs w:val="22"/>
        </w:rPr>
      </w:pPr>
      <w:r>
        <w:rPr>
          <w:bCs/>
          <w:sz w:val="22"/>
          <w:szCs w:val="22"/>
        </w:rPr>
        <w:t>1．考核要点</w:t>
      </w:r>
    </w:p>
    <w:p>
      <w:pPr>
        <w:tabs>
          <w:tab w:val="left" w:pos="720"/>
        </w:tabs>
        <w:spacing w:line="360" w:lineRule="exact"/>
        <w:ind w:firstLine="440" w:firstLineChars="200"/>
        <w:rPr>
          <w:bCs/>
          <w:sz w:val="22"/>
          <w:szCs w:val="22"/>
        </w:rPr>
      </w:pPr>
      <w:r>
        <w:rPr>
          <w:bCs/>
          <w:sz w:val="22"/>
          <w:szCs w:val="22"/>
        </w:rPr>
        <w:t>（1）传染病的流行特征、临床特征、诊断及管理</w:t>
      </w:r>
    </w:p>
    <w:p>
      <w:pPr>
        <w:tabs>
          <w:tab w:val="left" w:pos="720"/>
        </w:tabs>
        <w:spacing w:line="360" w:lineRule="exact"/>
        <w:ind w:firstLine="440" w:firstLineChars="200"/>
        <w:rPr>
          <w:bCs/>
          <w:sz w:val="22"/>
          <w:szCs w:val="22"/>
        </w:rPr>
      </w:pPr>
      <w:r>
        <w:rPr>
          <w:bCs/>
          <w:sz w:val="22"/>
          <w:szCs w:val="22"/>
        </w:rPr>
        <w:t>（2）传染病的监测、预警、风险研判</w:t>
      </w:r>
    </w:p>
    <w:p>
      <w:pPr>
        <w:tabs>
          <w:tab w:val="left" w:pos="720"/>
        </w:tabs>
        <w:spacing w:line="360" w:lineRule="exact"/>
        <w:ind w:firstLine="440" w:firstLineChars="200"/>
        <w:rPr>
          <w:bCs/>
          <w:sz w:val="22"/>
          <w:szCs w:val="22"/>
        </w:rPr>
      </w:pPr>
      <w:r>
        <w:rPr>
          <w:bCs/>
          <w:sz w:val="22"/>
          <w:szCs w:val="22"/>
        </w:rPr>
        <w:t>（3）传染病流行强度判定、报告、流行病学调查、处置、预防控制策略和措施</w:t>
      </w:r>
    </w:p>
    <w:p>
      <w:pPr>
        <w:tabs>
          <w:tab w:val="left" w:pos="720"/>
        </w:tabs>
        <w:spacing w:line="360" w:lineRule="exact"/>
        <w:ind w:firstLine="440" w:firstLineChars="200"/>
        <w:rPr>
          <w:bCs/>
          <w:sz w:val="22"/>
          <w:szCs w:val="22"/>
        </w:rPr>
      </w:pPr>
      <w:r>
        <w:rPr>
          <w:bCs/>
          <w:sz w:val="22"/>
          <w:szCs w:val="22"/>
        </w:rPr>
        <w:t>（散发、暴发、流行）</w:t>
      </w:r>
    </w:p>
    <w:p>
      <w:pPr>
        <w:tabs>
          <w:tab w:val="left" w:pos="720"/>
        </w:tabs>
        <w:spacing w:line="360" w:lineRule="exact"/>
        <w:ind w:firstLine="440" w:firstLineChars="200"/>
        <w:rPr>
          <w:bCs/>
          <w:sz w:val="22"/>
          <w:szCs w:val="22"/>
        </w:rPr>
      </w:pPr>
      <w:r>
        <w:rPr>
          <w:bCs/>
          <w:sz w:val="22"/>
          <w:szCs w:val="22"/>
        </w:rPr>
        <w:t>（4）突发公共卫生事件的报告、处置</w:t>
      </w:r>
    </w:p>
    <w:p>
      <w:pPr>
        <w:tabs>
          <w:tab w:val="left" w:pos="720"/>
        </w:tabs>
        <w:spacing w:line="360" w:lineRule="exact"/>
        <w:ind w:firstLine="440" w:firstLineChars="200"/>
        <w:rPr>
          <w:bCs/>
          <w:sz w:val="22"/>
          <w:szCs w:val="22"/>
        </w:rPr>
      </w:pPr>
      <w:r>
        <w:rPr>
          <w:bCs/>
          <w:sz w:val="22"/>
          <w:szCs w:val="22"/>
        </w:rPr>
        <w:t>（5）医院内感染性疾病的报告、调查、处置、预防控制措施</w:t>
      </w:r>
    </w:p>
    <w:p>
      <w:pPr>
        <w:tabs>
          <w:tab w:val="left" w:pos="720"/>
        </w:tabs>
        <w:spacing w:line="360" w:lineRule="exact"/>
        <w:ind w:firstLine="440" w:firstLineChars="200"/>
        <w:rPr>
          <w:b/>
          <w:sz w:val="24"/>
        </w:rPr>
      </w:pPr>
      <w:r>
        <w:rPr>
          <w:bCs/>
          <w:sz w:val="22"/>
          <w:szCs w:val="22"/>
        </w:rPr>
        <w:t>2．案例范围</w:t>
      </w:r>
    </w:p>
    <w:p>
      <w:pPr>
        <w:tabs>
          <w:tab w:val="left" w:pos="720"/>
        </w:tabs>
        <w:spacing w:line="360" w:lineRule="exact"/>
        <w:ind w:firstLine="440" w:firstLineChars="200"/>
        <w:rPr>
          <w:bCs/>
          <w:sz w:val="22"/>
          <w:szCs w:val="22"/>
        </w:rPr>
      </w:pPr>
      <w:r>
        <w:rPr>
          <w:bCs/>
          <w:sz w:val="22"/>
          <w:szCs w:val="22"/>
        </w:rPr>
        <w:t>（1）呼吸道传染病：新型冠状病毒感染、麻疹、肺结核、流行性感冒、水痘</w:t>
      </w:r>
    </w:p>
    <w:p>
      <w:pPr>
        <w:tabs>
          <w:tab w:val="left" w:pos="720"/>
        </w:tabs>
        <w:spacing w:line="360" w:lineRule="exact"/>
        <w:ind w:firstLine="440" w:firstLineChars="200"/>
        <w:rPr>
          <w:bCs/>
          <w:sz w:val="22"/>
          <w:szCs w:val="22"/>
        </w:rPr>
      </w:pPr>
      <w:r>
        <w:rPr>
          <w:bCs/>
          <w:sz w:val="22"/>
          <w:szCs w:val="22"/>
        </w:rPr>
        <w:t>（2）消化道传染病：霍乱、手足口病、细菌性痢疾、诺如病毒感染等感染性腹泻、甲型病毒性肝炎和戊型病毒性肝炎</w:t>
      </w:r>
    </w:p>
    <w:p>
      <w:pPr>
        <w:tabs>
          <w:tab w:val="left" w:pos="720"/>
        </w:tabs>
        <w:spacing w:line="360" w:lineRule="exact"/>
        <w:ind w:firstLine="440" w:firstLineChars="200"/>
        <w:rPr>
          <w:bCs/>
          <w:sz w:val="22"/>
          <w:szCs w:val="22"/>
        </w:rPr>
      </w:pPr>
      <w:r>
        <w:rPr>
          <w:bCs/>
          <w:sz w:val="22"/>
          <w:szCs w:val="22"/>
        </w:rPr>
        <w:t>（3）血源及性传播疾病：艾滋病、乙型病毒性肝炎和丙型病毒性肝炎</w:t>
      </w:r>
    </w:p>
    <w:p>
      <w:pPr>
        <w:tabs>
          <w:tab w:val="left" w:pos="720"/>
        </w:tabs>
        <w:spacing w:line="360" w:lineRule="exact"/>
        <w:ind w:firstLine="440" w:firstLineChars="200"/>
        <w:rPr>
          <w:bCs/>
          <w:sz w:val="22"/>
          <w:szCs w:val="22"/>
        </w:rPr>
      </w:pPr>
      <w:r>
        <w:rPr>
          <w:bCs/>
          <w:sz w:val="22"/>
          <w:szCs w:val="22"/>
        </w:rPr>
        <w:t>（4）虫媒和自然疫源性疾病：鼠疫、流行性出血热、狂犬病、流行性乙型脑炎</w:t>
      </w:r>
    </w:p>
    <w:p>
      <w:pPr>
        <w:tabs>
          <w:tab w:val="left" w:pos="720"/>
        </w:tabs>
        <w:spacing w:line="360" w:lineRule="exact"/>
        <w:ind w:firstLine="440" w:firstLineChars="200"/>
        <w:rPr>
          <w:bCs/>
          <w:sz w:val="22"/>
          <w:szCs w:val="22"/>
        </w:rPr>
      </w:pPr>
      <w:r>
        <w:rPr>
          <w:bCs/>
          <w:sz w:val="22"/>
          <w:szCs w:val="22"/>
        </w:rPr>
        <w:t>（5）医院内感染性疾病</w:t>
      </w:r>
    </w:p>
    <w:p>
      <w:pPr>
        <w:pStyle w:val="30"/>
        <w:ind w:left="0" w:firstLine="481" w:firstLineChars="200"/>
      </w:pPr>
      <w:r>
        <w:rPr>
          <w:rFonts w:hint="eastAsia"/>
        </w:rPr>
        <w:t>（二）操作技能</w:t>
      </w:r>
    </w:p>
    <w:p>
      <w:pPr>
        <w:tabs>
          <w:tab w:val="left" w:pos="720"/>
        </w:tabs>
        <w:spacing w:line="360" w:lineRule="exact"/>
        <w:ind w:firstLine="440" w:firstLineChars="200"/>
        <w:rPr>
          <w:rFonts w:hAnsi="宋体"/>
          <w:bCs/>
          <w:sz w:val="22"/>
          <w:szCs w:val="22"/>
        </w:rPr>
      </w:pPr>
      <w:r>
        <w:rPr>
          <w:rFonts w:hint="eastAsia" w:hAnsi="宋体"/>
          <w:bCs/>
          <w:sz w:val="22"/>
          <w:szCs w:val="22"/>
        </w:rPr>
        <w:t>1</w:t>
      </w:r>
      <w:r>
        <w:rPr>
          <w:rFonts w:hAnsi="宋体"/>
          <w:bCs/>
          <w:sz w:val="22"/>
          <w:szCs w:val="22"/>
        </w:rPr>
        <w:t>．</w:t>
      </w:r>
      <w:r>
        <w:rPr>
          <w:rFonts w:hint="eastAsia" w:hAnsi="宋体"/>
          <w:bCs/>
          <w:sz w:val="22"/>
          <w:szCs w:val="22"/>
        </w:rPr>
        <w:t>个体防护</w:t>
      </w:r>
    </w:p>
    <w:p>
      <w:pPr>
        <w:tabs>
          <w:tab w:val="left" w:pos="720"/>
        </w:tabs>
        <w:spacing w:line="360" w:lineRule="exact"/>
        <w:ind w:firstLine="440" w:firstLineChars="200"/>
        <w:rPr>
          <w:rFonts w:hAnsi="宋体"/>
          <w:bCs/>
          <w:sz w:val="22"/>
          <w:szCs w:val="22"/>
        </w:rPr>
      </w:pPr>
      <w:r>
        <w:rPr>
          <w:rFonts w:hint="eastAsia" w:hAnsi="宋体"/>
          <w:bCs/>
          <w:sz w:val="22"/>
          <w:szCs w:val="22"/>
        </w:rPr>
        <w:t>（1）呼吸道传染病</w:t>
      </w:r>
    </w:p>
    <w:p>
      <w:pPr>
        <w:tabs>
          <w:tab w:val="left" w:pos="720"/>
        </w:tabs>
        <w:spacing w:line="360" w:lineRule="exact"/>
        <w:ind w:firstLine="440" w:firstLineChars="200"/>
        <w:rPr>
          <w:rFonts w:hAnsi="宋体"/>
          <w:bCs/>
          <w:sz w:val="22"/>
          <w:szCs w:val="22"/>
        </w:rPr>
      </w:pPr>
      <w:r>
        <w:rPr>
          <w:rFonts w:hint="eastAsia" w:hAnsi="宋体"/>
          <w:bCs/>
          <w:sz w:val="22"/>
          <w:szCs w:val="22"/>
        </w:rPr>
        <w:t>（2）肠道传染病</w:t>
      </w:r>
    </w:p>
    <w:p>
      <w:pPr>
        <w:tabs>
          <w:tab w:val="left" w:pos="720"/>
        </w:tabs>
        <w:spacing w:line="360" w:lineRule="exact"/>
        <w:ind w:firstLine="440" w:firstLineChars="200"/>
        <w:rPr>
          <w:rFonts w:hAnsi="宋体"/>
          <w:bCs/>
          <w:sz w:val="22"/>
          <w:szCs w:val="22"/>
        </w:rPr>
      </w:pPr>
      <w:r>
        <w:rPr>
          <w:rFonts w:hint="eastAsia" w:hAnsi="宋体"/>
          <w:bCs/>
          <w:sz w:val="22"/>
          <w:szCs w:val="22"/>
        </w:rPr>
        <w:t>（3）虫媒传染病</w:t>
      </w:r>
    </w:p>
    <w:p>
      <w:pPr>
        <w:tabs>
          <w:tab w:val="left" w:pos="720"/>
        </w:tabs>
        <w:spacing w:line="360" w:lineRule="exact"/>
        <w:ind w:firstLine="440" w:firstLineChars="200"/>
        <w:rPr>
          <w:rFonts w:hAnsi="宋体"/>
          <w:bCs/>
          <w:sz w:val="22"/>
          <w:szCs w:val="22"/>
        </w:rPr>
      </w:pPr>
      <w:r>
        <w:rPr>
          <w:rFonts w:hint="eastAsia" w:hAnsi="宋体"/>
          <w:bCs/>
          <w:sz w:val="22"/>
          <w:szCs w:val="22"/>
        </w:rPr>
        <w:t>2</w:t>
      </w:r>
      <w:r>
        <w:rPr>
          <w:rFonts w:hAnsi="宋体"/>
          <w:bCs/>
          <w:sz w:val="22"/>
          <w:szCs w:val="22"/>
        </w:rPr>
        <w:t>．</w:t>
      </w:r>
      <w:r>
        <w:rPr>
          <w:rFonts w:hint="eastAsia" w:hAnsi="宋体"/>
          <w:bCs/>
          <w:sz w:val="22"/>
          <w:szCs w:val="22"/>
        </w:rPr>
        <w:t>卫生处理</w:t>
      </w:r>
    </w:p>
    <w:p>
      <w:pPr>
        <w:tabs>
          <w:tab w:val="left" w:pos="720"/>
        </w:tabs>
        <w:spacing w:line="360" w:lineRule="exact"/>
        <w:ind w:firstLine="440" w:firstLineChars="200"/>
        <w:rPr>
          <w:rFonts w:hAnsi="宋体"/>
          <w:bCs/>
          <w:sz w:val="22"/>
          <w:szCs w:val="22"/>
        </w:rPr>
      </w:pPr>
      <w:r>
        <w:rPr>
          <w:rFonts w:hint="eastAsia" w:hAnsi="宋体"/>
          <w:bCs/>
          <w:sz w:val="22"/>
          <w:szCs w:val="22"/>
        </w:rPr>
        <w:t>（1）消毒</w:t>
      </w:r>
    </w:p>
    <w:p>
      <w:pPr>
        <w:tabs>
          <w:tab w:val="left" w:pos="720"/>
        </w:tabs>
        <w:spacing w:line="360" w:lineRule="exact"/>
        <w:ind w:firstLine="440" w:firstLineChars="200"/>
        <w:rPr>
          <w:rFonts w:hAnsi="宋体"/>
          <w:bCs/>
          <w:sz w:val="22"/>
          <w:szCs w:val="22"/>
        </w:rPr>
      </w:pPr>
      <w:r>
        <w:rPr>
          <w:rFonts w:hint="eastAsia" w:hAnsi="宋体"/>
          <w:bCs/>
          <w:sz w:val="22"/>
          <w:szCs w:val="22"/>
        </w:rPr>
        <w:t>（2）杀虫</w:t>
      </w:r>
    </w:p>
    <w:p>
      <w:pPr>
        <w:tabs>
          <w:tab w:val="left" w:pos="720"/>
        </w:tabs>
        <w:spacing w:line="360" w:lineRule="exact"/>
        <w:ind w:firstLine="440" w:firstLineChars="200"/>
        <w:rPr>
          <w:rFonts w:hAnsi="宋体"/>
          <w:bCs/>
          <w:sz w:val="22"/>
          <w:szCs w:val="22"/>
        </w:rPr>
      </w:pPr>
      <w:r>
        <w:rPr>
          <w:rFonts w:hint="eastAsia" w:hAnsi="宋体"/>
          <w:bCs/>
          <w:sz w:val="22"/>
          <w:szCs w:val="22"/>
        </w:rPr>
        <w:t>（3）灭鼠</w:t>
      </w:r>
    </w:p>
    <w:p>
      <w:pPr>
        <w:tabs>
          <w:tab w:val="left" w:pos="720"/>
        </w:tabs>
        <w:spacing w:line="360" w:lineRule="exact"/>
        <w:ind w:firstLine="440" w:firstLineChars="200"/>
        <w:rPr>
          <w:rFonts w:hAnsi="宋体"/>
          <w:bCs/>
          <w:sz w:val="22"/>
          <w:szCs w:val="22"/>
        </w:rPr>
      </w:pPr>
      <w:r>
        <w:rPr>
          <w:rFonts w:hint="eastAsia" w:hAnsi="宋体"/>
          <w:bCs/>
          <w:sz w:val="22"/>
          <w:szCs w:val="22"/>
        </w:rPr>
        <w:t>3</w:t>
      </w:r>
      <w:r>
        <w:rPr>
          <w:rFonts w:hAnsi="宋体"/>
          <w:bCs/>
          <w:sz w:val="22"/>
          <w:szCs w:val="22"/>
        </w:rPr>
        <w:t>．</w:t>
      </w:r>
      <w:r>
        <w:rPr>
          <w:rFonts w:hint="eastAsia" w:hAnsi="宋体"/>
          <w:bCs/>
          <w:sz w:val="22"/>
          <w:szCs w:val="22"/>
        </w:rPr>
        <w:t>针刺伤处置</w:t>
      </w:r>
    </w:p>
    <w:p>
      <w:pPr>
        <w:tabs>
          <w:tab w:val="left" w:pos="720"/>
        </w:tabs>
        <w:spacing w:line="360" w:lineRule="exact"/>
        <w:ind w:firstLine="440" w:firstLineChars="200"/>
        <w:rPr>
          <w:rFonts w:hAnsi="宋体"/>
          <w:b/>
          <w:sz w:val="22"/>
          <w:szCs w:val="22"/>
          <w:u w:val="single"/>
        </w:rPr>
      </w:pPr>
      <w:r>
        <w:rPr>
          <w:rFonts w:hint="eastAsia" w:hAnsi="宋体"/>
          <w:bCs/>
          <w:sz w:val="22"/>
          <w:szCs w:val="22"/>
        </w:rPr>
        <w:t>4</w:t>
      </w:r>
      <w:r>
        <w:rPr>
          <w:rFonts w:hAnsi="宋体"/>
          <w:bCs/>
          <w:sz w:val="22"/>
          <w:szCs w:val="22"/>
        </w:rPr>
        <w:t>．</w:t>
      </w:r>
      <w:r>
        <w:rPr>
          <w:rFonts w:hint="eastAsia" w:hAnsi="宋体"/>
          <w:bCs/>
          <w:sz w:val="22"/>
          <w:szCs w:val="22"/>
        </w:rPr>
        <w:t>手卫生</w:t>
      </w:r>
    </w:p>
    <w:p>
      <w:pPr>
        <w:tabs>
          <w:tab w:val="left" w:pos="720"/>
        </w:tabs>
        <w:spacing w:line="360" w:lineRule="exact"/>
        <w:rPr>
          <w:bCs/>
          <w:sz w:val="22"/>
          <w:szCs w:val="22"/>
        </w:rPr>
      </w:pPr>
    </w:p>
    <w:p>
      <w:pPr>
        <w:pStyle w:val="77"/>
      </w:pPr>
      <w:bookmarkStart w:id="54" w:name="_Toc144217076"/>
      <w:r>
        <w:t>三、公共卫生基本技能</w:t>
      </w:r>
      <w:bookmarkEnd w:id="54"/>
    </w:p>
    <w:p>
      <w:pPr>
        <w:pStyle w:val="30"/>
        <w:rPr>
          <w:rFonts w:hAnsi="Times New Roman"/>
        </w:rPr>
      </w:pPr>
      <w:r>
        <w:rPr>
          <w:rFonts w:hAnsi="Times New Roman"/>
        </w:rPr>
        <w:t>（一）分析技能</w:t>
      </w:r>
    </w:p>
    <w:p>
      <w:pPr>
        <w:tabs>
          <w:tab w:val="left" w:pos="720"/>
        </w:tabs>
        <w:spacing w:line="360" w:lineRule="exact"/>
        <w:ind w:firstLine="440" w:firstLineChars="200"/>
        <w:rPr>
          <w:bCs/>
          <w:sz w:val="22"/>
          <w:szCs w:val="22"/>
        </w:rPr>
      </w:pPr>
      <w:r>
        <w:rPr>
          <w:bCs/>
          <w:sz w:val="22"/>
          <w:szCs w:val="22"/>
        </w:rPr>
        <w:t>1．职业卫生与职业医学</w:t>
      </w:r>
    </w:p>
    <w:p>
      <w:pPr>
        <w:tabs>
          <w:tab w:val="left" w:pos="720"/>
        </w:tabs>
        <w:spacing w:line="360" w:lineRule="exact"/>
        <w:ind w:firstLine="440" w:firstLineChars="200"/>
        <w:rPr>
          <w:bCs/>
          <w:sz w:val="22"/>
          <w:szCs w:val="22"/>
        </w:rPr>
      </w:pPr>
      <w:r>
        <w:rPr>
          <w:bCs/>
          <w:sz w:val="22"/>
          <w:szCs w:val="22"/>
        </w:rPr>
        <w:t>（1）考核要点</w:t>
      </w:r>
    </w:p>
    <w:p>
      <w:pPr>
        <w:tabs>
          <w:tab w:val="left" w:pos="720"/>
        </w:tabs>
        <w:spacing w:line="360" w:lineRule="exact"/>
        <w:ind w:firstLine="440" w:firstLineChars="200"/>
        <w:rPr>
          <w:bCs/>
          <w:sz w:val="22"/>
          <w:szCs w:val="22"/>
        </w:rPr>
      </w:pPr>
      <w:r>
        <w:rPr>
          <w:bCs/>
          <w:sz w:val="22"/>
          <w:szCs w:val="22"/>
        </w:rPr>
        <w:t>职业病的诊断原则与管理</w:t>
      </w:r>
    </w:p>
    <w:p>
      <w:pPr>
        <w:tabs>
          <w:tab w:val="left" w:pos="720"/>
        </w:tabs>
        <w:spacing w:line="360" w:lineRule="exact"/>
        <w:ind w:firstLine="440" w:firstLineChars="200"/>
        <w:rPr>
          <w:bCs/>
          <w:sz w:val="22"/>
          <w:szCs w:val="22"/>
        </w:rPr>
      </w:pPr>
      <w:r>
        <w:rPr>
          <w:bCs/>
          <w:sz w:val="22"/>
          <w:szCs w:val="22"/>
        </w:rPr>
        <w:t>职业病危害事件的报告、调查、分析、判定、现场处置、预防控制措施</w:t>
      </w:r>
    </w:p>
    <w:p>
      <w:pPr>
        <w:tabs>
          <w:tab w:val="left" w:pos="720"/>
        </w:tabs>
        <w:spacing w:line="360" w:lineRule="exact"/>
        <w:ind w:firstLine="440" w:firstLineChars="200"/>
        <w:rPr>
          <w:bCs/>
          <w:sz w:val="22"/>
          <w:szCs w:val="22"/>
        </w:rPr>
      </w:pPr>
      <w:r>
        <w:rPr>
          <w:bCs/>
          <w:sz w:val="22"/>
          <w:szCs w:val="22"/>
        </w:rPr>
        <w:t>职业病危害因素的识别、监测与评价</w:t>
      </w:r>
    </w:p>
    <w:p>
      <w:pPr>
        <w:tabs>
          <w:tab w:val="left" w:pos="720"/>
        </w:tabs>
        <w:spacing w:line="360" w:lineRule="exact"/>
        <w:ind w:firstLine="440" w:firstLineChars="200"/>
        <w:rPr>
          <w:bCs/>
          <w:sz w:val="22"/>
          <w:szCs w:val="22"/>
        </w:rPr>
      </w:pPr>
      <w:r>
        <w:rPr>
          <w:bCs/>
          <w:sz w:val="22"/>
          <w:szCs w:val="22"/>
        </w:rPr>
        <w:t>职业健康检查</w:t>
      </w:r>
    </w:p>
    <w:p>
      <w:pPr>
        <w:tabs>
          <w:tab w:val="left" w:pos="720"/>
        </w:tabs>
        <w:spacing w:line="360" w:lineRule="exact"/>
        <w:ind w:firstLine="440" w:firstLineChars="200"/>
        <w:rPr>
          <w:sz w:val="22"/>
          <w:szCs w:val="22"/>
        </w:rPr>
      </w:pPr>
      <w:r>
        <w:rPr>
          <w:sz w:val="22"/>
          <w:szCs w:val="22"/>
        </w:rPr>
        <w:t>（2）</w:t>
      </w:r>
      <w:r>
        <w:rPr>
          <w:bCs/>
          <w:sz w:val="22"/>
          <w:szCs w:val="22"/>
        </w:rPr>
        <w:t>案例范围</w:t>
      </w:r>
    </w:p>
    <w:p>
      <w:pPr>
        <w:tabs>
          <w:tab w:val="left" w:pos="720"/>
        </w:tabs>
        <w:spacing w:line="360" w:lineRule="exact"/>
        <w:ind w:firstLine="440" w:firstLineChars="200"/>
        <w:rPr>
          <w:sz w:val="22"/>
          <w:szCs w:val="22"/>
        </w:rPr>
      </w:pPr>
      <w:r>
        <w:rPr>
          <w:sz w:val="22"/>
          <w:szCs w:val="22"/>
        </w:rPr>
        <w:t>尘肺、一氧化碳中毒、苯中毒、铅中毒</w:t>
      </w:r>
    </w:p>
    <w:p>
      <w:pPr>
        <w:numPr>
          <w:ilvl w:val="255"/>
          <w:numId w:val="0"/>
        </w:numPr>
        <w:tabs>
          <w:tab w:val="left" w:pos="720"/>
        </w:tabs>
        <w:spacing w:line="360" w:lineRule="exact"/>
        <w:ind w:firstLine="440" w:firstLineChars="200"/>
      </w:pPr>
      <w:r>
        <w:rPr>
          <w:bCs/>
          <w:sz w:val="22"/>
          <w:szCs w:val="22"/>
        </w:rPr>
        <w:t>2．</w:t>
      </w:r>
      <w:r>
        <w:t>营养与食品卫生</w:t>
      </w:r>
    </w:p>
    <w:p>
      <w:pPr>
        <w:tabs>
          <w:tab w:val="left" w:pos="720"/>
        </w:tabs>
        <w:spacing w:line="360" w:lineRule="exact"/>
        <w:ind w:firstLine="440" w:firstLineChars="200"/>
        <w:rPr>
          <w:sz w:val="22"/>
          <w:szCs w:val="22"/>
        </w:rPr>
      </w:pPr>
      <w:r>
        <w:rPr>
          <w:sz w:val="22"/>
          <w:szCs w:val="22"/>
        </w:rPr>
        <w:t>（1）</w:t>
      </w:r>
      <w:r>
        <w:rPr>
          <w:bCs/>
          <w:sz w:val="22"/>
          <w:szCs w:val="22"/>
        </w:rPr>
        <w:t>考核要点</w:t>
      </w:r>
    </w:p>
    <w:p>
      <w:pPr>
        <w:tabs>
          <w:tab w:val="left" w:pos="720"/>
        </w:tabs>
        <w:spacing w:line="360" w:lineRule="exact"/>
        <w:ind w:firstLine="440" w:firstLineChars="200"/>
        <w:rPr>
          <w:sz w:val="22"/>
          <w:szCs w:val="22"/>
        </w:rPr>
      </w:pPr>
      <w:r>
        <w:rPr>
          <w:sz w:val="22"/>
          <w:szCs w:val="22"/>
        </w:rPr>
        <w:t>营养调查与监测</w:t>
      </w:r>
    </w:p>
    <w:p>
      <w:pPr>
        <w:tabs>
          <w:tab w:val="left" w:pos="720"/>
        </w:tabs>
        <w:spacing w:line="360" w:lineRule="exact"/>
        <w:ind w:firstLine="440" w:firstLineChars="200"/>
        <w:rPr>
          <w:sz w:val="22"/>
          <w:szCs w:val="22"/>
        </w:rPr>
      </w:pPr>
      <w:r>
        <w:rPr>
          <w:sz w:val="22"/>
          <w:szCs w:val="22"/>
        </w:rPr>
        <w:t>食物中毒事件的报告、调查、分析、判定、处置、预防控制措施</w:t>
      </w:r>
    </w:p>
    <w:p>
      <w:pPr>
        <w:tabs>
          <w:tab w:val="left" w:pos="720"/>
        </w:tabs>
        <w:spacing w:line="360" w:lineRule="exact"/>
        <w:ind w:firstLine="440" w:firstLineChars="200"/>
        <w:rPr>
          <w:sz w:val="22"/>
          <w:szCs w:val="22"/>
        </w:rPr>
      </w:pPr>
      <w:r>
        <w:rPr>
          <w:sz w:val="22"/>
          <w:szCs w:val="22"/>
        </w:rPr>
        <w:t>（2）</w:t>
      </w:r>
      <w:r>
        <w:rPr>
          <w:bCs/>
          <w:sz w:val="22"/>
          <w:szCs w:val="22"/>
        </w:rPr>
        <w:t>案例范围</w:t>
      </w:r>
    </w:p>
    <w:p>
      <w:pPr>
        <w:tabs>
          <w:tab w:val="left" w:pos="720"/>
        </w:tabs>
        <w:spacing w:line="360" w:lineRule="exact"/>
        <w:ind w:firstLine="440" w:firstLineChars="200"/>
        <w:rPr>
          <w:sz w:val="22"/>
          <w:szCs w:val="22"/>
        </w:rPr>
      </w:pPr>
      <w:r>
        <w:rPr>
          <w:sz w:val="22"/>
          <w:szCs w:val="22"/>
        </w:rPr>
        <w:t>膳食调查、营养监测</w:t>
      </w:r>
    </w:p>
    <w:p>
      <w:pPr>
        <w:tabs>
          <w:tab w:val="left" w:pos="720"/>
        </w:tabs>
        <w:spacing w:line="360" w:lineRule="exact"/>
        <w:ind w:firstLine="440" w:firstLineChars="200"/>
        <w:rPr>
          <w:sz w:val="22"/>
          <w:szCs w:val="22"/>
        </w:rPr>
      </w:pPr>
      <w:r>
        <w:rPr>
          <w:sz w:val="22"/>
          <w:szCs w:val="22"/>
        </w:rPr>
        <w:t>细菌性食物中毒、真菌及其毒素食物中毒、有毒动植物食物中毒、化学性食物中毒</w:t>
      </w:r>
    </w:p>
    <w:p>
      <w:pPr>
        <w:numPr>
          <w:ilvl w:val="255"/>
          <w:numId w:val="0"/>
        </w:numPr>
        <w:tabs>
          <w:tab w:val="left" w:pos="720"/>
        </w:tabs>
        <w:spacing w:line="360" w:lineRule="exact"/>
        <w:ind w:firstLine="440" w:firstLineChars="200"/>
      </w:pPr>
      <w:r>
        <w:rPr>
          <w:bCs/>
          <w:sz w:val="22"/>
          <w:szCs w:val="22"/>
        </w:rPr>
        <w:t>3．</w:t>
      </w:r>
      <w:r>
        <w:t>环境卫生</w:t>
      </w:r>
    </w:p>
    <w:p>
      <w:pPr>
        <w:tabs>
          <w:tab w:val="left" w:pos="720"/>
        </w:tabs>
        <w:spacing w:line="360" w:lineRule="exact"/>
        <w:ind w:firstLine="440" w:firstLineChars="200"/>
        <w:rPr>
          <w:sz w:val="22"/>
          <w:szCs w:val="22"/>
        </w:rPr>
      </w:pPr>
      <w:r>
        <w:rPr>
          <w:sz w:val="22"/>
          <w:szCs w:val="22"/>
        </w:rPr>
        <w:t>（1）</w:t>
      </w:r>
      <w:r>
        <w:rPr>
          <w:bCs/>
          <w:sz w:val="22"/>
          <w:szCs w:val="22"/>
        </w:rPr>
        <w:t>考核要点</w:t>
      </w:r>
    </w:p>
    <w:p>
      <w:pPr>
        <w:tabs>
          <w:tab w:val="left" w:pos="720"/>
        </w:tabs>
        <w:spacing w:line="360" w:lineRule="exact"/>
        <w:ind w:firstLine="440" w:firstLineChars="200"/>
        <w:rPr>
          <w:sz w:val="22"/>
          <w:szCs w:val="22"/>
        </w:rPr>
      </w:pPr>
      <w:r>
        <w:rPr>
          <w:sz w:val="22"/>
          <w:szCs w:val="22"/>
        </w:rPr>
        <w:t>环境污染事件的报告、调查、分析、判定、处置、预防控制措施</w:t>
      </w:r>
    </w:p>
    <w:p>
      <w:pPr>
        <w:tabs>
          <w:tab w:val="left" w:pos="720"/>
        </w:tabs>
        <w:spacing w:line="360" w:lineRule="exact"/>
        <w:ind w:firstLine="440" w:firstLineChars="200"/>
        <w:rPr>
          <w:sz w:val="22"/>
          <w:szCs w:val="22"/>
        </w:rPr>
      </w:pPr>
      <w:r>
        <w:rPr>
          <w:sz w:val="22"/>
          <w:szCs w:val="22"/>
        </w:rPr>
        <w:t>环境健康危害因素的识别、监测与评价</w:t>
      </w:r>
    </w:p>
    <w:p>
      <w:pPr>
        <w:tabs>
          <w:tab w:val="left" w:pos="720"/>
        </w:tabs>
        <w:spacing w:line="360" w:lineRule="exact"/>
        <w:ind w:firstLine="440" w:firstLineChars="200"/>
        <w:rPr>
          <w:sz w:val="22"/>
          <w:szCs w:val="22"/>
        </w:rPr>
      </w:pPr>
      <w:r>
        <w:rPr>
          <w:sz w:val="22"/>
          <w:szCs w:val="22"/>
        </w:rPr>
        <w:t>（2）</w:t>
      </w:r>
      <w:r>
        <w:rPr>
          <w:bCs/>
          <w:sz w:val="22"/>
          <w:szCs w:val="22"/>
        </w:rPr>
        <w:t>案例范围</w:t>
      </w:r>
    </w:p>
    <w:p>
      <w:pPr>
        <w:tabs>
          <w:tab w:val="left" w:pos="720"/>
        </w:tabs>
        <w:spacing w:line="360" w:lineRule="exact"/>
        <w:ind w:firstLine="440" w:firstLineChars="200"/>
        <w:rPr>
          <w:sz w:val="22"/>
          <w:szCs w:val="22"/>
        </w:rPr>
      </w:pPr>
      <w:r>
        <w:rPr>
          <w:sz w:val="22"/>
          <w:szCs w:val="22"/>
        </w:rPr>
        <w:t>生活饮用水、室内空气污染事件的调查与处理</w:t>
      </w:r>
    </w:p>
    <w:p>
      <w:pPr>
        <w:tabs>
          <w:tab w:val="left" w:pos="720"/>
        </w:tabs>
        <w:spacing w:line="360" w:lineRule="exact"/>
        <w:ind w:firstLine="440" w:firstLineChars="200"/>
        <w:rPr>
          <w:sz w:val="22"/>
          <w:szCs w:val="22"/>
        </w:rPr>
      </w:pPr>
      <w:r>
        <w:rPr>
          <w:sz w:val="22"/>
          <w:szCs w:val="22"/>
        </w:rPr>
        <w:t>健康危害因素：室内空气、生活饮用水、公共用品用具</w:t>
      </w:r>
    </w:p>
    <w:p>
      <w:pPr>
        <w:pStyle w:val="30"/>
        <w:ind w:left="0" w:firstLine="481" w:firstLineChars="200"/>
        <w:rPr>
          <w:rFonts w:hAnsi="Times New Roman"/>
        </w:rPr>
      </w:pPr>
      <w:r>
        <w:rPr>
          <w:rFonts w:hAnsi="Times New Roman"/>
        </w:rPr>
        <w:t>（二）操作技能</w:t>
      </w:r>
    </w:p>
    <w:p>
      <w:pPr>
        <w:tabs>
          <w:tab w:val="left" w:pos="720"/>
        </w:tabs>
        <w:spacing w:line="360" w:lineRule="exact"/>
        <w:ind w:firstLine="440" w:firstLineChars="200"/>
        <w:rPr>
          <w:sz w:val="22"/>
          <w:szCs w:val="22"/>
        </w:rPr>
      </w:pPr>
      <w:r>
        <w:rPr>
          <w:sz w:val="22"/>
          <w:szCs w:val="22"/>
        </w:rPr>
        <w:t>1．职业卫生与职业医学</w:t>
      </w:r>
    </w:p>
    <w:p>
      <w:pPr>
        <w:tabs>
          <w:tab w:val="left" w:pos="720"/>
        </w:tabs>
        <w:spacing w:line="360" w:lineRule="exact"/>
        <w:ind w:firstLine="440" w:firstLineChars="200"/>
        <w:rPr>
          <w:sz w:val="22"/>
          <w:szCs w:val="22"/>
        </w:rPr>
      </w:pPr>
      <w:r>
        <w:rPr>
          <w:sz w:val="22"/>
          <w:szCs w:val="22"/>
        </w:rPr>
        <w:t>（1）生产性粉尘样品采集</w:t>
      </w:r>
    </w:p>
    <w:p>
      <w:pPr>
        <w:tabs>
          <w:tab w:val="left" w:pos="720"/>
        </w:tabs>
        <w:spacing w:line="360" w:lineRule="exact"/>
        <w:ind w:firstLine="440" w:firstLineChars="200"/>
        <w:rPr>
          <w:sz w:val="22"/>
          <w:szCs w:val="22"/>
        </w:rPr>
      </w:pPr>
      <w:r>
        <w:rPr>
          <w:sz w:val="22"/>
          <w:szCs w:val="22"/>
        </w:rPr>
        <w:t>（2）化学毒物样品采集</w:t>
      </w:r>
    </w:p>
    <w:p>
      <w:pPr>
        <w:tabs>
          <w:tab w:val="left" w:pos="720"/>
        </w:tabs>
        <w:spacing w:line="360" w:lineRule="exact"/>
        <w:ind w:firstLine="440" w:firstLineChars="200"/>
        <w:rPr>
          <w:sz w:val="22"/>
          <w:szCs w:val="22"/>
        </w:rPr>
      </w:pPr>
      <w:r>
        <w:rPr>
          <w:sz w:val="22"/>
          <w:szCs w:val="22"/>
        </w:rPr>
        <w:t>2．营养与食品卫生</w:t>
      </w:r>
    </w:p>
    <w:p>
      <w:pPr>
        <w:tabs>
          <w:tab w:val="left" w:pos="720"/>
        </w:tabs>
        <w:spacing w:line="360" w:lineRule="exact"/>
        <w:ind w:firstLine="440" w:firstLineChars="200"/>
        <w:rPr>
          <w:sz w:val="22"/>
          <w:szCs w:val="22"/>
        </w:rPr>
      </w:pPr>
      <w:r>
        <w:rPr>
          <w:sz w:val="22"/>
          <w:szCs w:val="22"/>
        </w:rPr>
        <w:t>固态、液态食品样品采集</w:t>
      </w:r>
    </w:p>
    <w:p>
      <w:pPr>
        <w:tabs>
          <w:tab w:val="left" w:pos="720"/>
        </w:tabs>
        <w:spacing w:line="360" w:lineRule="exact"/>
        <w:ind w:firstLine="440" w:firstLineChars="200"/>
        <w:rPr>
          <w:sz w:val="22"/>
          <w:szCs w:val="22"/>
        </w:rPr>
      </w:pPr>
      <w:r>
        <w:rPr>
          <w:bCs/>
          <w:sz w:val="22"/>
          <w:szCs w:val="22"/>
        </w:rPr>
        <w:t>3．</w:t>
      </w:r>
      <w:r>
        <w:t>环境卫生</w:t>
      </w:r>
    </w:p>
    <w:p>
      <w:pPr>
        <w:tabs>
          <w:tab w:val="left" w:pos="720"/>
        </w:tabs>
        <w:spacing w:line="360" w:lineRule="exact"/>
        <w:ind w:firstLine="440" w:firstLineChars="200"/>
        <w:rPr>
          <w:sz w:val="22"/>
          <w:szCs w:val="22"/>
        </w:rPr>
      </w:pPr>
      <w:r>
        <w:rPr>
          <w:sz w:val="22"/>
          <w:szCs w:val="22"/>
        </w:rPr>
        <w:t>（1）生活饮用水样品采集</w:t>
      </w:r>
    </w:p>
    <w:p>
      <w:pPr>
        <w:tabs>
          <w:tab w:val="left" w:pos="720"/>
        </w:tabs>
        <w:spacing w:line="360" w:lineRule="exact"/>
        <w:ind w:firstLine="440" w:firstLineChars="200"/>
        <w:rPr>
          <w:sz w:val="22"/>
          <w:szCs w:val="22"/>
        </w:rPr>
      </w:pPr>
      <w:r>
        <w:rPr>
          <w:sz w:val="22"/>
          <w:szCs w:val="22"/>
        </w:rPr>
        <w:t>（2）室内空气样品采集</w:t>
      </w:r>
    </w:p>
    <w:p>
      <w:pPr>
        <w:tabs>
          <w:tab w:val="left" w:pos="720"/>
        </w:tabs>
        <w:spacing w:line="360" w:lineRule="exact"/>
        <w:ind w:firstLine="440" w:firstLineChars="200"/>
        <w:rPr>
          <w:sz w:val="22"/>
          <w:szCs w:val="22"/>
        </w:rPr>
      </w:pPr>
      <w:r>
        <w:rPr>
          <w:sz w:val="22"/>
          <w:szCs w:val="22"/>
        </w:rPr>
        <w:t>（3）公共用品用具样品采集</w:t>
      </w:r>
    </w:p>
    <w:p>
      <w:pPr>
        <w:tabs>
          <w:tab w:val="left" w:pos="720"/>
        </w:tabs>
        <w:spacing w:line="360" w:lineRule="exact"/>
        <w:ind w:firstLine="440" w:firstLineChars="200"/>
        <w:rPr>
          <w:sz w:val="22"/>
          <w:szCs w:val="22"/>
        </w:rPr>
      </w:pPr>
      <w:r>
        <w:rPr>
          <w:sz w:val="22"/>
          <w:szCs w:val="22"/>
        </w:rPr>
        <w:t>（4）现场环境测定</w:t>
      </w:r>
    </w:p>
    <w:p>
      <w:pPr>
        <w:widowControl/>
        <w:tabs>
          <w:tab w:val="left" w:pos="720"/>
        </w:tabs>
        <w:spacing w:line="360" w:lineRule="exact"/>
        <w:ind w:firstLine="440" w:firstLineChars="200"/>
        <w:jc w:val="left"/>
        <w:rPr>
          <w:sz w:val="22"/>
          <w:szCs w:val="22"/>
        </w:rPr>
      </w:pPr>
      <w:r>
        <w:rPr>
          <w:sz w:val="22"/>
          <w:szCs w:val="22"/>
        </w:rPr>
        <w:t>1）风速</w:t>
      </w:r>
    </w:p>
    <w:p>
      <w:pPr>
        <w:widowControl/>
        <w:tabs>
          <w:tab w:val="left" w:pos="720"/>
        </w:tabs>
        <w:spacing w:line="360" w:lineRule="exact"/>
        <w:ind w:firstLine="440" w:firstLineChars="200"/>
        <w:jc w:val="left"/>
        <w:rPr>
          <w:sz w:val="22"/>
          <w:szCs w:val="22"/>
        </w:rPr>
      </w:pPr>
      <w:r>
        <w:rPr>
          <w:sz w:val="22"/>
          <w:szCs w:val="22"/>
        </w:rPr>
        <w:t>2）噪声</w:t>
      </w:r>
    </w:p>
    <w:p>
      <w:pPr>
        <w:widowControl/>
        <w:tabs>
          <w:tab w:val="left" w:pos="720"/>
        </w:tabs>
        <w:spacing w:line="360" w:lineRule="exact"/>
        <w:ind w:firstLine="440" w:firstLineChars="200"/>
        <w:jc w:val="left"/>
        <w:rPr>
          <w:sz w:val="22"/>
          <w:szCs w:val="22"/>
        </w:rPr>
      </w:pPr>
      <w:r>
        <w:rPr>
          <w:sz w:val="22"/>
          <w:szCs w:val="22"/>
        </w:rPr>
        <w:t>3）照度</w:t>
      </w:r>
    </w:p>
    <w:p>
      <w:pPr>
        <w:rPr>
          <w:szCs w:val="21"/>
        </w:rPr>
      </w:pPr>
    </w:p>
    <w:sectPr>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86"/>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0000019F" w:csb1="00000000"/>
  </w:font>
  <w:font w:name="等线">
    <w:altName w:val="宋体"/>
    <w:panose1 w:val="02010600030101010101"/>
    <w:charset w:val="86"/>
    <w:family w:val="auto"/>
    <w:pitch w:val="default"/>
    <w:sig w:usb0="00000000" w:usb1="00000000" w:usb2="00000016" w:usb3="00000000" w:csb0="0004000F" w:csb1="00000000"/>
  </w:font>
  <w:font w:name="宋体-简">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Batang">
    <w:altName w:val="宋体"/>
    <w:panose1 w:val="02030600000101010101"/>
    <w:charset w:val="81"/>
    <w:family w:val="roman"/>
    <w:pitch w:val="default"/>
    <w:sig w:usb0="00000000" w:usb1="00000000" w:usb2="00000030" w:usb3="00000000" w:csb0="0008009F"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33</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25555"/>
    <w:rsid w:val="00010D2C"/>
    <w:rsid w:val="00013900"/>
    <w:rsid w:val="000224F4"/>
    <w:rsid w:val="000401D0"/>
    <w:rsid w:val="000426FD"/>
    <w:rsid w:val="00044773"/>
    <w:rsid w:val="00051985"/>
    <w:rsid w:val="00061282"/>
    <w:rsid w:val="00065F0A"/>
    <w:rsid w:val="000706AD"/>
    <w:rsid w:val="00074A12"/>
    <w:rsid w:val="0007718C"/>
    <w:rsid w:val="00087992"/>
    <w:rsid w:val="00094C44"/>
    <w:rsid w:val="000A51A6"/>
    <w:rsid w:val="000B1380"/>
    <w:rsid w:val="000D6197"/>
    <w:rsid w:val="000D62C8"/>
    <w:rsid w:val="000E3CA6"/>
    <w:rsid w:val="000E7F93"/>
    <w:rsid w:val="000F2B2E"/>
    <w:rsid w:val="001007E9"/>
    <w:rsid w:val="0011360A"/>
    <w:rsid w:val="00126E01"/>
    <w:rsid w:val="00130279"/>
    <w:rsid w:val="001318F2"/>
    <w:rsid w:val="0013606A"/>
    <w:rsid w:val="001618D6"/>
    <w:rsid w:val="00162E65"/>
    <w:rsid w:val="00166C4B"/>
    <w:rsid w:val="001779A6"/>
    <w:rsid w:val="0018083A"/>
    <w:rsid w:val="001A0687"/>
    <w:rsid w:val="001D5429"/>
    <w:rsid w:val="001D79EC"/>
    <w:rsid w:val="001E4125"/>
    <w:rsid w:val="001F2914"/>
    <w:rsid w:val="00205532"/>
    <w:rsid w:val="00205FE2"/>
    <w:rsid w:val="002113C2"/>
    <w:rsid w:val="00217547"/>
    <w:rsid w:val="00221C0C"/>
    <w:rsid w:val="00227A54"/>
    <w:rsid w:val="00236DDD"/>
    <w:rsid w:val="00237973"/>
    <w:rsid w:val="00241AEE"/>
    <w:rsid w:val="002458EB"/>
    <w:rsid w:val="00245928"/>
    <w:rsid w:val="00256DDD"/>
    <w:rsid w:val="0026372D"/>
    <w:rsid w:val="00263D30"/>
    <w:rsid w:val="002716BC"/>
    <w:rsid w:val="00271C10"/>
    <w:rsid w:val="00272722"/>
    <w:rsid w:val="002734C1"/>
    <w:rsid w:val="00273787"/>
    <w:rsid w:val="00274DB5"/>
    <w:rsid w:val="00283305"/>
    <w:rsid w:val="00290536"/>
    <w:rsid w:val="002A67B0"/>
    <w:rsid w:val="002A7EC3"/>
    <w:rsid w:val="002B550B"/>
    <w:rsid w:val="002C206B"/>
    <w:rsid w:val="002F116A"/>
    <w:rsid w:val="0031033F"/>
    <w:rsid w:val="00336ADC"/>
    <w:rsid w:val="003436A3"/>
    <w:rsid w:val="00360515"/>
    <w:rsid w:val="00360CE9"/>
    <w:rsid w:val="00364EA8"/>
    <w:rsid w:val="003805CC"/>
    <w:rsid w:val="003901DA"/>
    <w:rsid w:val="00391948"/>
    <w:rsid w:val="00396C47"/>
    <w:rsid w:val="003A7EC7"/>
    <w:rsid w:val="003B1A8B"/>
    <w:rsid w:val="003B5519"/>
    <w:rsid w:val="003B59DA"/>
    <w:rsid w:val="003D1E0A"/>
    <w:rsid w:val="003E43CA"/>
    <w:rsid w:val="003E5448"/>
    <w:rsid w:val="003F1B07"/>
    <w:rsid w:val="003F4174"/>
    <w:rsid w:val="003F5AE8"/>
    <w:rsid w:val="00405316"/>
    <w:rsid w:val="00411695"/>
    <w:rsid w:val="00424F3B"/>
    <w:rsid w:val="00426379"/>
    <w:rsid w:val="0042677A"/>
    <w:rsid w:val="0044467C"/>
    <w:rsid w:val="00453961"/>
    <w:rsid w:val="0047108D"/>
    <w:rsid w:val="004774E2"/>
    <w:rsid w:val="00484D51"/>
    <w:rsid w:val="0049092E"/>
    <w:rsid w:val="004A1BD7"/>
    <w:rsid w:val="004A2C4E"/>
    <w:rsid w:val="004B5ECE"/>
    <w:rsid w:val="004B76D6"/>
    <w:rsid w:val="004C1340"/>
    <w:rsid w:val="004C5EB4"/>
    <w:rsid w:val="005115B5"/>
    <w:rsid w:val="00532EF9"/>
    <w:rsid w:val="005338B0"/>
    <w:rsid w:val="00544734"/>
    <w:rsid w:val="00555B51"/>
    <w:rsid w:val="00571F18"/>
    <w:rsid w:val="0057550F"/>
    <w:rsid w:val="00580E2A"/>
    <w:rsid w:val="00580EEB"/>
    <w:rsid w:val="005900CC"/>
    <w:rsid w:val="005963DA"/>
    <w:rsid w:val="005973B4"/>
    <w:rsid w:val="005C4761"/>
    <w:rsid w:val="005C56F1"/>
    <w:rsid w:val="005D6B70"/>
    <w:rsid w:val="005E069D"/>
    <w:rsid w:val="006004A3"/>
    <w:rsid w:val="00601522"/>
    <w:rsid w:val="00601DC5"/>
    <w:rsid w:val="00617AAA"/>
    <w:rsid w:val="00630EB3"/>
    <w:rsid w:val="00644563"/>
    <w:rsid w:val="00654FD0"/>
    <w:rsid w:val="00664BC0"/>
    <w:rsid w:val="00674369"/>
    <w:rsid w:val="00683796"/>
    <w:rsid w:val="00692813"/>
    <w:rsid w:val="00692D6D"/>
    <w:rsid w:val="006943BD"/>
    <w:rsid w:val="006B0DBA"/>
    <w:rsid w:val="006D3BD9"/>
    <w:rsid w:val="006E3D67"/>
    <w:rsid w:val="00705817"/>
    <w:rsid w:val="00705C81"/>
    <w:rsid w:val="007079DB"/>
    <w:rsid w:val="00707F63"/>
    <w:rsid w:val="0071361D"/>
    <w:rsid w:val="00722CD8"/>
    <w:rsid w:val="00736D4B"/>
    <w:rsid w:val="007452B2"/>
    <w:rsid w:val="007531DB"/>
    <w:rsid w:val="00764CED"/>
    <w:rsid w:val="007A451C"/>
    <w:rsid w:val="007B3A05"/>
    <w:rsid w:val="007B4DD8"/>
    <w:rsid w:val="007B790F"/>
    <w:rsid w:val="007C09D5"/>
    <w:rsid w:val="007D6725"/>
    <w:rsid w:val="007E1EDD"/>
    <w:rsid w:val="007E4BE4"/>
    <w:rsid w:val="007F78EA"/>
    <w:rsid w:val="00801680"/>
    <w:rsid w:val="00802E32"/>
    <w:rsid w:val="00805B40"/>
    <w:rsid w:val="00821CF4"/>
    <w:rsid w:val="00826DF2"/>
    <w:rsid w:val="00833AD7"/>
    <w:rsid w:val="0085027B"/>
    <w:rsid w:val="00861B42"/>
    <w:rsid w:val="00861E57"/>
    <w:rsid w:val="00862E2B"/>
    <w:rsid w:val="0087107B"/>
    <w:rsid w:val="00886E81"/>
    <w:rsid w:val="00897832"/>
    <w:rsid w:val="008A01E8"/>
    <w:rsid w:val="008A1543"/>
    <w:rsid w:val="008B2171"/>
    <w:rsid w:val="008B505D"/>
    <w:rsid w:val="008B5B46"/>
    <w:rsid w:val="008C30C4"/>
    <w:rsid w:val="008C4B3F"/>
    <w:rsid w:val="008E3767"/>
    <w:rsid w:val="008F4E27"/>
    <w:rsid w:val="009077F8"/>
    <w:rsid w:val="00913BB2"/>
    <w:rsid w:val="0091559C"/>
    <w:rsid w:val="00915C0C"/>
    <w:rsid w:val="00924310"/>
    <w:rsid w:val="0094229A"/>
    <w:rsid w:val="0094620B"/>
    <w:rsid w:val="009553FE"/>
    <w:rsid w:val="00960B1C"/>
    <w:rsid w:val="00960D44"/>
    <w:rsid w:val="00962795"/>
    <w:rsid w:val="00975E39"/>
    <w:rsid w:val="0098672A"/>
    <w:rsid w:val="009A0A7E"/>
    <w:rsid w:val="009A7FD1"/>
    <w:rsid w:val="009B01A1"/>
    <w:rsid w:val="009B257D"/>
    <w:rsid w:val="009B2630"/>
    <w:rsid w:val="009C4AB4"/>
    <w:rsid w:val="009C5BF1"/>
    <w:rsid w:val="009C73CE"/>
    <w:rsid w:val="009D6444"/>
    <w:rsid w:val="009D7A52"/>
    <w:rsid w:val="009E0A50"/>
    <w:rsid w:val="009E5FAA"/>
    <w:rsid w:val="009F7AD6"/>
    <w:rsid w:val="00A051A1"/>
    <w:rsid w:val="00A0776A"/>
    <w:rsid w:val="00A10CF2"/>
    <w:rsid w:val="00A16CF3"/>
    <w:rsid w:val="00A2183A"/>
    <w:rsid w:val="00A32CC4"/>
    <w:rsid w:val="00A36891"/>
    <w:rsid w:val="00A4635F"/>
    <w:rsid w:val="00A544C3"/>
    <w:rsid w:val="00A62D1F"/>
    <w:rsid w:val="00A673D6"/>
    <w:rsid w:val="00A94B66"/>
    <w:rsid w:val="00A94C43"/>
    <w:rsid w:val="00A94D80"/>
    <w:rsid w:val="00AB0EAF"/>
    <w:rsid w:val="00AB29C1"/>
    <w:rsid w:val="00AC2CB4"/>
    <w:rsid w:val="00AC521C"/>
    <w:rsid w:val="00AE14DA"/>
    <w:rsid w:val="00AE31B6"/>
    <w:rsid w:val="00AE503B"/>
    <w:rsid w:val="00AF00D2"/>
    <w:rsid w:val="00B20778"/>
    <w:rsid w:val="00B21FA2"/>
    <w:rsid w:val="00B22A15"/>
    <w:rsid w:val="00B25217"/>
    <w:rsid w:val="00B25688"/>
    <w:rsid w:val="00B27659"/>
    <w:rsid w:val="00B30547"/>
    <w:rsid w:val="00B52660"/>
    <w:rsid w:val="00B53370"/>
    <w:rsid w:val="00B61159"/>
    <w:rsid w:val="00B73B61"/>
    <w:rsid w:val="00B84DFC"/>
    <w:rsid w:val="00B85EC8"/>
    <w:rsid w:val="00B9753A"/>
    <w:rsid w:val="00BA7C84"/>
    <w:rsid w:val="00BB4E2E"/>
    <w:rsid w:val="00BC4318"/>
    <w:rsid w:val="00BC5333"/>
    <w:rsid w:val="00BC76BC"/>
    <w:rsid w:val="00C20518"/>
    <w:rsid w:val="00C26130"/>
    <w:rsid w:val="00C30518"/>
    <w:rsid w:val="00C45BD8"/>
    <w:rsid w:val="00C563F2"/>
    <w:rsid w:val="00C62A54"/>
    <w:rsid w:val="00C6401D"/>
    <w:rsid w:val="00C72F00"/>
    <w:rsid w:val="00C80EC7"/>
    <w:rsid w:val="00C87B84"/>
    <w:rsid w:val="00CA5581"/>
    <w:rsid w:val="00CB12AA"/>
    <w:rsid w:val="00CC13C2"/>
    <w:rsid w:val="00CC2C8E"/>
    <w:rsid w:val="00CC3A62"/>
    <w:rsid w:val="00CC45CA"/>
    <w:rsid w:val="00CD5C70"/>
    <w:rsid w:val="00CD5F7C"/>
    <w:rsid w:val="00CE122E"/>
    <w:rsid w:val="00CE77AC"/>
    <w:rsid w:val="00CF130A"/>
    <w:rsid w:val="00CF65BA"/>
    <w:rsid w:val="00CF67AE"/>
    <w:rsid w:val="00D30162"/>
    <w:rsid w:val="00D40C5F"/>
    <w:rsid w:val="00D51B2C"/>
    <w:rsid w:val="00D574EC"/>
    <w:rsid w:val="00D5785C"/>
    <w:rsid w:val="00D65B9F"/>
    <w:rsid w:val="00D71F9A"/>
    <w:rsid w:val="00D72AEF"/>
    <w:rsid w:val="00D73BE2"/>
    <w:rsid w:val="00D77BFA"/>
    <w:rsid w:val="00D81324"/>
    <w:rsid w:val="00D85824"/>
    <w:rsid w:val="00D979AF"/>
    <w:rsid w:val="00DB4531"/>
    <w:rsid w:val="00DB7496"/>
    <w:rsid w:val="00DD64B8"/>
    <w:rsid w:val="00DD65CD"/>
    <w:rsid w:val="00DE6D83"/>
    <w:rsid w:val="00DF0A47"/>
    <w:rsid w:val="00E00ECB"/>
    <w:rsid w:val="00E019C2"/>
    <w:rsid w:val="00E033C2"/>
    <w:rsid w:val="00E23A6B"/>
    <w:rsid w:val="00E25555"/>
    <w:rsid w:val="00E30A3C"/>
    <w:rsid w:val="00E322E7"/>
    <w:rsid w:val="00E46127"/>
    <w:rsid w:val="00E60F08"/>
    <w:rsid w:val="00E71943"/>
    <w:rsid w:val="00E72524"/>
    <w:rsid w:val="00E72C78"/>
    <w:rsid w:val="00E7487F"/>
    <w:rsid w:val="00E93F7E"/>
    <w:rsid w:val="00EA5D65"/>
    <w:rsid w:val="00EB5BE9"/>
    <w:rsid w:val="00EB66E0"/>
    <w:rsid w:val="00EB7F55"/>
    <w:rsid w:val="00EC4930"/>
    <w:rsid w:val="00EC75C1"/>
    <w:rsid w:val="00EC79B0"/>
    <w:rsid w:val="00EE1A3E"/>
    <w:rsid w:val="00EE6C43"/>
    <w:rsid w:val="00F069D6"/>
    <w:rsid w:val="00F12359"/>
    <w:rsid w:val="00F13944"/>
    <w:rsid w:val="00F15C3D"/>
    <w:rsid w:val="00F15D4C"/>
    <w:rsid w:val="00F16268"/>
    <w:rsid w:val="00F2169E"/>
    <w:rsid w:val="00F233D8"/>
    <w:rsid w:val="00F2756F"/>
    <w:rsid w:val="00F461BB"/>
    <w:rsid w:val="00F604FB"/>
    <w:rsid w:val="00F7482F"/>
    <w:rsid w:val="00F76CBA"/>
    <w:rsid w:val="00FB0714"/>
    <w:rsid w:val="00FB6B92"/>
    <w:rsid w:val="00FD6772"/>
    <w:rsid w:val="00FE4604"/>
    <w:rsid w:val="00FE7611"/>
    <w:rsid w:val="00FF32B3"/>
    <w:rsid w:val="00FF4C16"/>
    <w:rsid w:val="00FF576D"/>
    <w:rsid w:val="00FF7AD1"/>
    <w:rsid w:val="0A1B1D64"/>
    <w:rsid w:val="4AFDF56A"/>
    <w:rsid w:val="62F53CE1"/>
    <w:rsid w:val="67960A56"/>
    <w:rsid w:val="74122776"/>
    <w:rsid w:val="7AA7D494"/>
    <w:rsid w:val="7F6CBACE"/>
    <w:rsid w:val="9FF5594F"/>
    <w:rsid w:val="BCFEE8EB"/>
    <w:rsid w:val="F4B59E40"/>
    <w:rsid w:val="F6336FB2"/>
    <w:rsid w:val="FDC7E024"/>
    <w:rsid w:val="FDF7FAB4"/>
    <w:rsid w:val="FFF9A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2"/>
    <w:qFormat/>
    <w:uiPriority w:val="99"/>
    <w:pPr>
      <w:jc w:val="left"/>
    </w:pPr>
  </w:style>
  <w:style w:type="paragraph" w:styleId="6">
    <w:name w:val="Date"/>
    <w:basedOn w:val="1"/>
    <w:next w:val="1"/>
    <w:link w:val="23"/>
    <w:semiHidden/>
    <w:unhideWhenUsed/>
    <w:qFormat/>
    <w:uiPriority w:val="99"/>
    <w:pPr>
      <w:ind w:left="100" w:leftChars="2500"/>
    </w:pPr>
  </w:style>
  <w:style w:type="paragraph" w:styleId="7">
    <w:name w:val="Balloon Text"/>
    <w:basedOn w:val="1"/>
    <w:link w:val="24"/>
    <w:semiHidden/>
    <w:unhideWhenUsed/>
    <w:qFormat/>
    <w:uiPriority w:val="99"/>
    <w:rPr>
      <w:sz w:val="18"/>
      <w:szCs w:val="18"/>
    </w:rPr>
  </w:style>
  <w:style w:type="paragraph" w:styleId="8">
    <w:name w:val="footer"/>
    <w:basedOn w:val="1"/>
    <w:link w:val="25"/>
    <w:unhideWhenUsed/>
    <w:qFormat/>
    <w:uiPriority w:val="99"/>
    <w:pPr>
      <w:tabs>
        <w:tab w:val="center" w:pos="4153"/>
        <w:tab w:val="right" w:pos="8306"/>
      </w:tabs>
      <w:snapToGrid w:val="0"/>
      <w:jc w:val="left"/>
    </w:pPr>
    <w:rPr>
      <w:sz w:val="18"/>
      <w:szCs w:val="18"/>
    </w:rPr>
  </w:style>
  <w:style w:type="paragraph" w:styleId="9">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annotation subject"/>
    <w:basedOn w:val="5"/>
    <w:next w:val="5"/>
    <w:link w:val="73"/>
    <w:semiHidden/>
    <w:unhideWhenUsed/>
    <w:qFormat/>
    <w:uiPriority w:val="99"/>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qFormat/>
    <w:uiPriority w:val="99"/>
    <w:rPr>
      <w:color w:val="954F72"/>
      <w:u w:val="single"/>
    </w:rPr>
  </w:style>
  <w:style w:type="character" w:styleId="17">
    <w:name w:val="Hyperlink"/>
    <w:basedOn w:val="15"/>
    <w:unhideWhenUsed/>
    <w:qFormat/>
    <w:uiPriority w:val="99"/>
    <w:rPr>
      <w:color w:val="0000FF" w:themeColor="hyperlink"/>
      <w:u w:val="single"/>
    </w:rPr>
  </w:style>
  <w:style w:type="character" w:styleId="18">
    <w:name w:val="annotation reference"/>
    <w:basedOn w:val="15"/>
    <w:semiHidden/>
    <w:qFormat/>
    <w:uiPriority w:val="99"/>
    <w:rPr>
      <w:sz w:val="21"/>
      <w:szCs w:val="21"/>
    </w:rPr>
  </w:style>
  <w:style w:type="character" w:customStyle="1" w:styleId="19">
    <w:name w:val="标题 1 字符"/>
    <w:basedOn w:val="15"/>
    <w:link w:val="2"/>
    <w:qFormat/>
    <w:uiPriority w:val="9"/>
    <w:rPr>
      <w:rFonts w:ascii="Times New Roman" w:hAnsi="Times New Roman" w:eastAsia="宋体" w:cs="Times New Roman"/>
      <w:b/>
      <w:bCs/>
      <w:kern w:val="44"/>
      <w:sz w:val="44"/>
      <w:szCs w:val="44"/>
    </w:rPr>
  </w:style>
  <w:style w:type="character" w:customStyle="1" w:styleId="20">
    <w:name w:val="标题 2 字符"/>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字符"/>
    <w:basedOn w:val="15"/>
    <w:link w:val="4"/>
    <w:semiHidden/>
    <w:qFormat/>
    <w:uiPriority w:val="9"/>
    <w:rPr>
      <w:rFonts w:ascii="Times New Roman" w:hAnsi="Times New Roman" w:eastAsia="宋体" w:cs="Times New Roman"/>
      <w:b/>
      <w:bCs/>
      <w:sz w:val="32"/>
      <w:szCs w:val="32"/>
    </w:rPr>
  </w:style>
  <w:style w:type="character" w:customStyle="1" w:styleId="22">
    <w:name w:val="批注文字 字符"/>
    <w:basedOn w:val="15"/>
    <w:link w:val="5"/>
    <w:qFormat/>
    <w:uiPriority w:val="99"/>
    <w:rPr>
      <w:rFonts w:ascii="Times New Roman" w:hAnsi="Times New Roman" w:eastAsia="宋体" w:cs="Times New Roman"/>
      <w:szCs w:val="24"/>
    </w:rPr>
  </w:style>
  <w:style w:type="character" w:customStyle="1" w:styleId="23">
    <w:name w:val="日期 字符"/>
    <w:basedOn w:val="15"/>
    <w:link w:val="6"/>
    <w:semiHidden/>
    <w:qFormat/>
    <w:uiPriority w:val="99"/>
    <w:rPr>
      <w:rFonts w:ascii="Times New Roman" w:hAnsi="Times New Roman" w:eastAsia="宋体" w:cs="Times New Roman"/>
      <w:szCs w:val="24"/>
    </w:rPr>
  </w:style>
  <w:style w:type="character" w:customStyle="1" w:styleId="24">
    <w:name w:val="批注框文本 字符"/>
    <w:basedOn w:val="15"/>
    <w:link w:val="7"/>
    <w:semiHidden/>
    <w:qFormat/>
    <w:uiPriority w:val="99"/>
    <w:rPr>
      <w:rFonts w:ascii="Times New Roman" w:hAnsi="Times New Roman" w:eastAsia="宋体" w:cs="Times New Roman"/>
      <w:sz w:val="18"/>
      <w:szCs w:val="18"/>
    </w:rPr>
  </w:style>
  <w:style w:type="character" w:customStyle="1" w:styleId="25">
    <w:name w:val="页脚 字符"/>
    <w:basedOn w:val="15"/>
    <w:link w:val="8"/>
    <w:qFormat/>
    <w:uiPriority w:val="99"/>
    <w:rPr>
      <w:rFonts w:ascii="Times New Roman" w:hAnsi="Times New Roman" w:eastAsia="宋体" w:cs="Times New Roman"/>
      <w:sz w:val="18"/>
      <w:szCs w:val="18"/>
    </w:rPr>
  </w:style>
  <w:style w:type="character" w:customStyle="1" w:styleId="26">
    <w:name w:val="页眉 字符"/>
    <w:basedOn w:val="15"/>
    <w:link w:val="9"/>
    <w:qFormat/>
    <w:uiPriority w:val="99"/>
    <w:rPr>
      <w:rFonts w:ascii="Times New Roman" w:hAnsi="Times New Roman" w:eastAsia="宋体" w:cs="Times New Roman"/>
      <w:sz w:val="18"/>
      <w:szCs w:val="18"/>
    </w:rPr>
  </w:style>
  <w:style w:type="character" w:customStyle="1" w:styleId="27">
    <w:name w:val="批注文字 Char"/>
    <w:basedOn w:val="15"/>
    <w:semiHidden/>
    <w:qFormat/>
    <w:uiPriority w:val="99"/>
    <w:rPr>
      <w:rFonts w:ascii="Times New Roman" w:hAnsi="Times New Roman" w:eastAsia="宋体" w:cs="Times New Roman"/>
      <w:szCs w:val="24"/>
    </w:rPr>
  </w:style>
  <w:style w:type="paragraph" w:customStyle="1" w:styleId="28">
    <w:name w:val="中标题1"/>
    <w:basedOn w:val="1"/>
    <w:link w:val="29"/>
    <w:qFormat/>
    <w:uiPriority w:val="0"/>
    <w:pPr>
      <w:spacing w:line="360" w:lineRule="auto"/>
      <w:jc w:val="center"/>
    </w:pPr>
    <w:rPr>
      <w:b/>
      <w:sz w:val="28"/>
      <w:szCs w:val="28"/>
    </w:rPr>
  </w:style>
  <w:style w:type="character" w:customStyle="1" w:styleId="29">
    <w:name w:val="中标题1 Char"/>
    <w:basedOn w:val="15"/>
    <w:link w:val="28"/>
    <w:qFormat/>
    <w:uiPriority w:val="0"/>
    <w:rPr>
      <w:rFonts w:ascii="Times New Roman" w:hAnsi="Times New Roman" w:eastAsia="宋体" w:cs="Times New Roman"/>
      <w:b/>
      <w:sz w:val="28"/>
      <w:szCs w:val="28"/>
    </w:rPr>
  </w:style>
  <w:style w:type="paragraph" w:customStyle="1" w:styleId="30">
    <w:name w:val="小标题1"/>
    <w:basedOn w:val="1"/>
    <w:link w:val="31"/>
    <w:qFormat/>
    <w:uiPriority w:val="0"/>
    <w:pPr>
      <w:widowControl/>
      <w:spacing w:line="360" w:lineRule="auto"/>
      <w:ind w:left="315"/>
      <w:jc w:val="left"/>
    </w:pPr>
    <w:rPr>
      <w:rFonts w:hAnsi="宋体"/>
      <w:b/>
      <w:sz w:val="24"/>
    </w:rPr>
  </w:style>
  <w:style w:type="character" w:customStyle="1" w:styleId="31">
    <w:name w:val="小标题1 Char"/>
    <w:basedOn w:val="15"/>
    <w:link w:val="30"/>
    <w:qFormat/>
    <w:uiPriority w:val="0"/>
    <w:rPr>
      <w:rFonts w:ascii="Times New Roman" w:hAnsi="宋体" w:eastAsia="宋体" w:cs="Times New Roman"/>
      <w:b/>
      <w:sz w:val="24"/>
      <w:szCs w:val="24"/>
    </w:rPr>
  </w:style>
  <w:style w:type="paragraph" w:customStyle="1" w:styleId="32">
    <w:name w:val="中标题2"/>
    <w:basedOn w:val="1"/>
    <w:link w:val="33"/>
    <w:qFormat/>
    <w:uiPriority w:val="0"/>
    <w:pPr>
      <w:jc w:val="center"/>
    </w:pPr>
    <w:rPr>
      <w:rFonts w:hAnsi="宋体"/>
      <w:sz w:val="30"/>
      <w:szCs w:val="30"/>
    </w:rPr>
  </w:style>
  <w:style w:type="character" w:customStyle="1" w:styleId="33">
    <w:name w:val="中标题2 Char"/>
    <w:basedOn w:val="15"/>
    <w:link w:val="32"/>
    <w:qFormat/>
    <w:uiPriority w:val="0"/>
    <w:rPr>
      <w:rFonts w:ascii="Times New Roman" w:hAnsi="宋体" w:eastAsia="宋体" w:cs="Times New Roman"/>
      <w:sz w:val="30"/>
      <w:szCs w:val="30"/>
    </w:rPr>
  </w:style>
  <w:style w:type="paragraph" w:customStyle="1" w:styleId="34">
    <w:name w:val="小标题2"/>
    <w:basedOn w:val="1"/>
    <w:link w:val="35"/>
    <w:qFormat/>
    <w:uiPriority w:val="0"/>
    <w:pPr>
      <w:widowControl/>
      <w:jc w:val="center"/>
    </w:pPr>
    <w:rPr>
      <w:rFonts w:hAnsiTheme="minorEastAsia" w:eastAsiaTheme="minorEastAsia"/>
      <w:b/>
      <w:szCs w:val="21"/>
    </w:rPr>
  </w:style>
  <w:style w:type="character" w:customStyle="1" w:styleId="35">
    <w:name w:val="小标题2 Char"/>
    <w:basedOn w:val="15"/>
    <w:link w:val="34"/>
    <w:qFormat/>
    <w:uiPriority w:val="0"/>
    <w:rPr>
      <w:rFonts w:ascii="Times New Roman" w:cs="Times New Roman" w:hAnsiTheme="minorEastAsia"/>
      <w:b/>
      <w:szCs w:val="21"/>
    </w:rPr>
  </w:style>
  <w:style w:type="paragraph" w:customStyle="1" w:styleId="36">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7">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9">
    <w:name w:val="font6"/>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40">
    <w:name w:val="font7"/>
    <w:basedOn w:val="1"/>
    <w:qFormat/>
    <w:uiPriority w:val="0"/>
    <w:pPr>
      <w:widowControl/>
      <w:spacing w:before="100" w:beforeAutospacing="1" w:after="100" w:afterAutospacing="1"/>
      <w:jc w:val="left"/>
    </w:pPr>
    <w:rPr>
      <w:kern w:val="0"/>
      <w:sz w:val="22"/>
      <w:szCs w:val="22"/>
    </w:rPr>
  </w:style>
  <w:style w:type="paragraph" w:customStyle="1" w:styleId="41">
    <w:name w:val="font8"/>
    <w:basedOn w:val="1"/>
    <w:qFormat/>
    <w:uiPriority w:val="0"/>
    <w:pPr>
      <w:widowControl/>
      <w:spacing w:before="100" w:beforeAutospacing="1" w:after="100" w:afterAutospacing="1"/>
      <w:jc w:val="left"/>
    </w:pPr>
    <w:rPr>
      <w:rFonts w:ascii="Calibri" w:hAnsi="Calibri" w:cs="Calibri"/>
      <w:kern w:val="0"/>
      <w:szCs w:val="21"/>
    </w:rPr>
  </w:style>
  <w:style w:type="paragraph" w:customStyle="1" w:styleId="42">
    <w:name w:val="font9"/>
    <w:basedOn w:val="1"/>
    <w:qFormat/>
    <w:uiPriority w:val="0"/>
    <w:pPr>
      <w:widowControl/>
      <w:spacing w:before="100" w:beforeAutospacing="1" w:after="100" w:afterAutospacing="1"/>
      <w:jc w:val="left"/>
    </w:pPr>
    <w:rPr>
      <w:rFonts w:ascii="等线" w:hAnsi="等线" w:eastAsia="等线" w:cs="宋体"/>
      <w:kern w:val="0"/>
      <w:sz w:val="22"/>
      <w:szCs w:val="22"/>
    </w:rPr>
  </w:style>
  <w:style w:type="paragraph" w:customStyle="1" w:styleId="43">
    <w:name w:val="font10"/>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44">
    <w:name w:val="font11"/>
    <w:basedOn w:val="1"/>
    <w:qFormat/>
    <w:uiPriority w:val="0"/>
    <w:pPr>
      <w:widowControl/>
      <w:spacing w:before="100" w:beforeAutospacing="1" w:after="100" w:afterAutospacing="1"/>
      <w:jc w:val="left"/>
    </w:pPr>
    <w:rPr>
      <w:rFonts w:ascii="宋体-简" w:hAnsi="宋体" w:eastAsia="宋体-简" w:cs="宋体"/>
      <w:kern w:val="0"/>
      <w:sz w:val="22"/>
      <w:szCs w:val="22"/>
    </w:rPr>
  </w:style>
  <w:style w:type="paragraph" w:customStyle="1" w:styleId="4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4"/>
    </w:rPr>
  </w:style>
  <w:style w:type="paragraph" w:customStyle="1" w:styleId="4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5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5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xl79"/>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5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5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5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6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61">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62">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6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简" w:hAnsi="宋体" w:eastAsia="宋体-简" w:cs="宋体"/>
      <w:kern w:val="0"/>
      <w:sz w:val="24"/>
    </w:rPr>
  </w:style>
  <w:style w:type="paragraph" w:customStyle="1" w:styleId="6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69">
    <w:name w:val="中标题"/>
    <w:basedOn w:val="1"/>
    <w:link w:val="70"/>
    <w:qFormat/>
    <w:uiPriority w:val="0"/>
    <w:pPr>
      <w:spacing w:line="360" w:lineRule="auto"/>
      <w:jc w:val="center"/>
    </w:pPr>
    <w:rPr>
      <w:b/>
      <w:sz w:val="28"/>
      <w:szCs w:val="28"/>
    </w:rPr>
  </w:style>
  <w:style w:type="character" w:customStyle="1" w:styleId="70">
    <w:name w:val="中标题 Char"/>
    <w:basedOn w:val="15"/>
    <w:link w:val="69"/>
    <w:qFormat/>
    <w:uiPriority w:val="0"/>
    <w:rPr>
      <w:rFonts w:ascii="Times New Roman" w:hAnsi="Times New Roman" w:eastAsia="宋体" w:cs="Times New Roman"/>
      <w:b/>
      <w:sz w:val="28"/>
      <w:szCs w:val="28"/>
    </w:rPr>
  </w:style>
  <w:style w:type="character" w:customStyle="1" w:styleId="71">
    <w:name w:val="ql-font-songti"/>
    <w:qFormat/>
    <w:uiPriority w:val="0"/>
  </w:style>
  <w:style w:type="character" w:customStyle="1" w:styleId="72">
    <w:name w:val="font21"/>
    <w:basedOn w:val="15"/>
    <w:qFormat/>
    <w:uiPriority w:val="0"/>
    <w:rPr>
      <w:rFonts w:hint="default" w:ascii="Times New Roman" w:hAnsi="Times New Roman" w:cs="Times New Roman"/>
      <w:color w:val="000000"/>
      <w:sz w:val="22"/>
      <w:szCs w:val="22"/>
      <w:u w:val="none"/>
    </w:rPr>
  </w:style>
  <w:style w:type="character" w:customStyle="1" w:styleId="73">
    <w:name w:val="批注主题 字符"/>
    <w:basedOn w:val="22"/>
    <w:link w:val="12"/>
    <w:semiHidden/>
    <w:qFormat/>
    <w:uiPriority w:val="99"/>
    <w:rPr>
      <w:rFonts w:ascii="Times New Roman" w:hAnsi="Times New Roman" w:eastAsia="宋体" w:cs="Times New Roman"/>
      <w:b/>
      <w:bCs/>
      <w:kern w:val="2"/>
      <w:sz w:val="21"/>
      <w:szCs w:val="24"/>
    </w:rPr>
  </w:style>
  <w:style w:type="paragraph" w:customStyle="1" w:styleId="74">
    <w:name w:val="大标题1"/>
    <w:basedOn w:val="1"/>
    <w:link w:val="75"/>
    <w:qFormat/>
    <w:uiPriority w:val="0"/>
    <w:pPr>
      <w:widowControl/>
      <w:jc w:val="center"/>
      <w:outlineLvl w:val="0"/>
    </w:pPr>
    <w:rPr>
      <w:rFonts w:asciiTheme="minorEastAsia" w:hAnsiTheme="minorEastAsia" w:eastAsiaTheme="minorEastAsia"/>
      <w:b/>
      <w:sz w:val="32"/>
      <w:szCs w:val="21"/>
    </w:rPr>
  </w:style>
  <w:style w:type="character" w:customStyle="1" w:styleId="75">
    <w:name w:val="大标题1 Char"/>
    <w:basedOn w:val="15"/>
    <w:link w:val="74"/>
    <w:qFormat/>
    <w:uiPriority w:val="0"/>
    <w:rPr>
      <w:rFonts w:cs="Times New Roman" w:asciiTheme="minorEastAsia" w:hAnsiTheme="minorEastAsia"/>
      <w:b/>
      <w:kern w:val="2"/>
      <w:sz w:val="32"/>
      <w:szCs w:val="21"/>
    </w:rPr>
  </w:style>
  <w:style w:type="paragraph" w:customStyle="1" w:styleId="76">
    <w:name w:val="样式1"/>
    <w:basedOn w:val="32"/>
    <w:link w:val="78"/>
    <w:qFormat/>
    <w:uiPriority w:val="0"/>
    <w:rPr>
      <w:rFonts w:ascii="宋体"/>
      <w:b/>
      <w:bCs/>
      <w:color w:val="000000"/>
      <w:kern w:val="0"/>
      <w:sz w:val="36"/>
      <w:szCs w:val="36"/>
    </w:rPr>
  </w:style>
  <w:style w:type="paragraph" w:customStyle="1" w:styleId="77">
    <w:name w:val="样式2"/>
    <w:basedOn w:val="1"/>
    <w:link w:val="80"/>
    <w:qFormat/>
    <w:uiPriority w:val="0"/>
    <w:pPr>
      <w:widowControl/>
      <w:adjustRightInd w:val="0"/>
      <w:snapToGrid w:val="0"/>
      <w:spacing w:before="78" w:beforeLines="25" w:after="78" w:afterLines="25"/>
      <w:jc w:val="center"/>
    </w:pPr>
    <w:rPr>
      <w:rFonts w:ascii="宋体" w:hAnsi="宋体"/>
      <w:b/>
      <w:bCs/>
      <w:color w:val="000000"/>
      <w:kern w:val="0"/>
      <w:sz w:val="36"/>
      <w:szCs w:val="36"/>
    </w:rPr>
  </w:style>
  <w:style w:type="character" w:customStyle="1" w:styleId="78">
    <w:name w:val="样式1 字符"/>
    <w:basedOn w:val="33"/>
    <w:link w:val="76"/>
    <w:qFormat/>
    <w:uiPriority w:val="0"/>
    <w:rPr>
      <w:rFonts w:ascii="宋体" w:hAnsi="宋体" w:eastAsia="宋体" w:cs="Times New Roman"/>
      <w:b/>
      <w:bCs/>
      <w:color w:val="000000"/>
      <w:sz w:val="36"/>
      <w:szCs w:val="36"/>
    </w:rPr>
  </w:style>
  <w:style w:type="paragraph" w:customStyle="1" w:styleId="79">
    <w:name w:val="样式3"/>
    <w:basedOn w:val="1"/>
    <w:link w:val="81"/>
    <w:qFormat/>
    <w:uiPriority w:val="0"/>
    <w:pPr>
      <w:widowControl/>
      <w:jc w:val="left"/>
      <w:outlineLvl w:val="1"/>
    </w:pPr>
    <w:rPr>
      <w:kern w:val="0"/>
      <w:sz w:val="22"/>
    </w:rPr>
  </w:style>
  <w:style w:type="character" w:customStyle="1" w:styleId="80">
    <w:name w:val="样式2 字符"/>
    <w:basedOn w:val="15"/>
    <w:link w:val="77"/>
    <w:qFormat/>
    <w:uiPriority w:val="0"/>
    <w:rPr>
      <w:rFonts w:ascii="宋体" w:hAnsi="宋体" w:eastAsia="宋体" w:cs="Times New Roman"/>
      <w:b/>
      <w:bCs/>
      <w:color w:val="000000"/>
      <w:sz w:val="36"/>
      <w:szCs w:val="36"/>
    </w:rPr>
  </w:style>
  <w:style w:type="character" w:customStyle="1" w:styleId="81">
    <w:name w:val="样式3 字符"/>
    <w:basedOn w:val="15"/>
    <w:link w:val="79"/>
    <w:qFormat/>
    <w:uiPriority w:val="0"/>
    <w:rPr>
      <w:rFonts w:ascii="Times New Roman" w:hAnsi="Times New Roman" w:eastAsia="宋体" w:cs="Times New Roman"/>
      <w:sz w:val="2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6790</Words>
  <Characters>38704</Characters>
  <Lines>322</Lines>
  <Paragraphs>90</Paragraphs>
  <TotalTime>12</TotalTime>
  <ScaleCrop>false</ScaleCrop>
  <LinksUpToDate>false</LinksUpToDate>
  <CharactersWithSpaces>45404</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2017-05-11T07:22:00Z</dcterms:created>
  <dc:creator>luoluo</dc:creator>
  <cp:lastModifiedBy>yljgc03</cp:lastModifiedBy>
  <cp:lastPrinted>2023-10-24T14:27:00Z</cp:lastPrinted>
  <dcterms:modified xsi:type="dcterms:W3CDTF">2023-12-01T13:29:55Z</dcterms:modified>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